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999B7" w14:textId="4ED783B7" w:rsidR="000415E9" w:rsidRPr="00433519" w:rsidRDefault="00691060" w:rsidP="00433519">
      <w:pPr>
        <w:spacing w:line="0" w:lineRule="atLeast"/>
        <w:jc w:val="right"/>
        <w:rPr>
          <w:rFonts w:ascii="游ゴシック" w:eastAsia="游ゴシック" w:hAnsi="游ゴシック"/>
          <w:szCs w:val="21"/>
        </w:rPr>
      </w:pPr>
      <w:r>
        <w:rPr>
          <w:rFonts w:ascii="游ゴシック" w:eastAsia="游ゴシック" w:hAnsi="游ゴシック" w:hint="eastAsia"/>
          <w:szCs w:val="21"/>
        </w:rPr>
        <w:t>【</w:t>
      </w:r>
      <w:r w:rsidR="000415E9" w:rsidRPr="00433519">
        <w:rPr>
          <w:rFonts w:ascii="游ゴシック" w:eastAsia="游ゴシック" w:hAnsi="游ゴシック" w:hint="eastAsia"/>
          <w:szCs w:val="21"/>
        </w:rPr>
        <w:t>別紙</w:t>
      </w:r>
      <w:r w:rsidR="00433519" w:rsidRPr="00433519">
        <w:rPr>
          <w:rFonts w:ascii="游ゴシック" w:eastAsia="游ゴシック" w:hAnsi="游ゴシック" w:hint="eastAsia"/>
          <w:szCs w:val="21"/>
        </w:rPr>
        <w:t>２</w:t>
      </w:r>
      <w:r>
        <w:rPr>
          <w:rFonts w:ascii="游ゴシック" w:eastAsia="游ゴシック" w:hAnsi="游ゴシック" w:hint="eastAsia"/>
          <w:szCs w:val="21"/>
        </w:rPr>
        <w:t>】</w:t>
      </w:r>
    </w:p>
    <w:p w14:paraId="287B0176" w14:textId="77777777" w:rsidR="00F10D41" w:rsidRPr="00ED1E62" w:rsidRDefault="00F10D41" w:rsidP="00433519">
      <w:pPr>
        <w:spacing w:line="0" w:lineRule="atLeast"/>
        <w:jc w:val="right"/>
        <w:rPr>
          <w:rFonts w:ascii="游ゴシック" w:eastAsia="游ゴシック" w:hAnsi="游ゴシック"/>
          <w:szCs w:val="21"/>
        </w:rPr>
      </w:pPr>
    </w:p>
    <w:p w14:paraId="26A09F2B" w14:textId="1CE451E3" w:rsidR="00433519" w:rsidRPr="00ED1E62" w:rsidRDefault="00FB2AE5" w:rsidP="00433519">
      <w:pPr>
        <w:spacing w:line="0" w:lineRule="atLeast"/>
        <w:jc w:val="center"/>
        <w:rPr>
          <w:rFonts w:ascii="游ゴシック" w:eastAsia="游ゴシック" w:hAnsi="游ゴシック"/>
          <w:szCs w:val="21"/>
        </w:rPr>
      </w:pPr>
      <w:r w:rsidRPr="00ED1E62">
        <w:rPr>
          <w:rFonts w:ascii="游ゴシック" w:eastAsia="游ゴシック" w:hAnsi="游ゴシック" w:hint="eastAsia"/>
          <w:szCs w:val="21"/>
        </w:rPr>
        <w:t>2024</w:t>
      </w:r>
      <w:r w:rsidR="000415E9" w:rsidRPr="00ED1E62">
        <w:rPr>
          <w:rFonts w:ascii="游ゴシック" w:eastAsia="游ゴシック" w:hAnsi="游ゴシック" w:hint="eastAsia"/>
          <w:szCs w:val="21"/>
        </w:rPr>
        <w:t>年度</w:t>
      </w:r>
      <w:r w:rsidR="00433519" w:rsidRPr="00ED1E62">
        <w:rPr>
          <w:rFonts w:ascii="游ゴシック" w:eastAsia="游ゴシック" w:hAnsi="游ゴシック" w:hint="eastAsia"/>
          <w:szCs w:val="21"/>
        </w:rPr>
        <w:t>東京日本語教育センター同窓会ネットワーク構築推進事業</w:t>
      </w:r>
    </w:p>
    <w:p w14:paraId="11F3C8A3" w14:textId="5D0B67A4" w:rsidR="000415E9" w:rsidRPr="00ED1E62" w:rsidRDefault="00433519" w:rsidP="00433519">
      <w:pPr>
        <w:spacing w:line="0" w:lineRule="atLeast"/>
        <w:jc w:val="center"/>
        <w:rPr>
          <w:rFonts w:ascii="游ゴシック" w:eastAsia="游ゴシック" w:hAnsi="游ゴシック"/>
          <w:szCs w:val="21"/>
          <w:lang w:eastAsia="zh-TW"/>
        </w:rPr>
      </w:pPr>
      <w:r w:rsidRPr="00ED1E62">
        <w:rPr>
          <w:rFonts w:ascii="游ゴシック" w:eastAsia="游ゴシック" w:hAnsi="游ゴシック" w:hint="eastAsia"/>
          <w:szCs w:val="21"/>
          <w:lang w:eastAsia="zh-TW"/>
        </w:rPr>
        <w:t xml:space="preserve">学生募集広報活動業務委託　</w:t>
      </w:r>
      <w:r w:rsidR="00252247" w:rsidRPr="00ED1E62">
        <w:rPr>
          <w:rFonts w:ascii="游ゴシック" w:eastAsia="游ゴシック" w:hAnsi="游ゴシック" w:hint="eastAsia"/>
          <w:szCs w:val="21"/>
          <w:lang w:eastAsia="zh-TW"/>
        </w:rPr>
        <w:t>審査</w:t>
      </w:r>
      <w:r w:rsidR="000415E9" w:rsidRPr="00ED1E62">
        <w:rPr>
          <w:rFonts w:ascii="游ゴシック" w:eastAsia="游ゴシック" w:hAnsi="游ゴシック" w:hint="eastAsia"/>
          <w:szCs w:val="21"/>
          <w:lang w:eastAsia="zh-TW"/>
        </w:rPr>
        <w:t>基準</w:t>
      </w:r>
    </w:p>
    <w:p w14:paraId="5064D49A" w14:textId="77777777" w:rsidR="00385431" w:rsidRPr="00ED1E62" w:rsidRDefault="00385431" w:rsidP="00433519">
      <w:pPr>
        <w:tabs>
          <w:tab w:val="center" w:pos="4535"/>
        </w:tabs>
        <w:spacing w:line="0" w:lineRule="atLeast"/>
        <w:ind w:firstLineChars="100" w:firstLine="197"/>
        <w:jc w:val="left"/>
        <w:rPr>
          <w:rFonts w:ascii="游ゴシック" w:eastAsia="游ゴシック" w:hAnsi="游ゴシック"/>
          <w:szCs w:val="21"/>
          <w:lang w:eastAsia="zh-TW"/>
        </w:rPr>
      </w:pPr>
    </w:p>
    <w:p w14:paraId="473D0B69" w14:textId="0D1A851F" w:rsidR="000415E9" w:rsidRPr="00ED1E62" w:rsidRDefault="00FB2AE5" w:rsidP="00433519">
      <w:pPr>
        <w:spacing w:line="0" w:lineRule="atLeast"/>
        <w:ind w:firstLineChars="100" w:firstLine="197"/>
        <w:jc w:val="left"/>
        <w:rPr>
          <w:rFonts w:ascii="游ゴシック" w:eastAsia="游ゴシック" w:hAnsi="游ゴシック"/>
          <w:szCs w:val="21"/>
        </w:rPr>
      </w:pPr>
      <w:r w:rsidRPr="00ED1E62">
        <w:rPr>
          <w:rFonts w:ascii="游ゴシック" w:eastAsia="游ゴシック" w:hAnsi="游ゴシック" w:hint="eastAsia"/>
          <w:szCs w:val="21"/>
        </w:rPr>
        <w:t>202</w:t>
      </w:r>
      <w:r w:rsidRPr="00ED1E62">
        <w:rPr>
          <w:rFonts w:ascii="游ゴシック" w:eastAsia="游ゴシック" w:hAnsi="游ゴシック"/>
          <w:szCs w:val="21"/>
        </w:rPr>
        <w:t>4</w:t>
      </w:r>
      <w:r w:rsidR="00433519" w:rsidRPr="00ED1E62">
        <w:rPr>
          <w:rFonts w:ascii="游ゴシック" w:eastAsia="游ゴシック" w:hAnsi="游ゴシック" w:hint="eastAsia"/>
          <w:szCs w:val="21"/>
        </w:rPr>
        <w:t>年度東京日本語教育センター同窓会ネットワーク構築推進事業　学生募集広報活動業務委託</w:t>
      </w:r>
      <w:r w:rsidR="00D82D28" w:rsidRPr="00ED1E62">
        <w:rPr>
          <w:rFonts w:ascii="游ゴシック" w:eastAsia="游ゴシック" w:hAnsi="游ゴシック" w:hint="eastAsia"/>
          <w:szCs w:val="21"/>
        </w:rPr>
        <w:t>に係る</w:t>
      </w:r>
      <w:r w:rsidR="00161E1C" w:rsidRPr="00ED1E62">
        <w:rPr>
          <w:rFonts w:ascii="游ゴシック" w:eastAsia="游ゴシック" w:hAnsi="游ゴシック" w:hint="eastAsia"/>
          <w:szCs w:val="21"/>
        </w:rPr>
        <w:t>企画提案書</w:t>
      </w:r>
      <w:r w:rsidR="000415E9" w:rsidRPr="00ED1E62">
        <w:rPr>
          <w:rFonts w:ascii="游ゴシック" w:eastAsia="游ゴシック" w:hAnsi="游ゴシック" w:hint="eastAsia"/>
          <w:szCs w:val="21"/>
        </w:rPr>
        <w:t>の審査</w:t>
      </w:r>
      <w:r w:rsidR="00A258ED" w:rsidRPr="00ED1E62">
        <w:rPr>
          <w:rFonts w:ascii="游ゴシック" w:eastAsia="游ゴシック" w:hAnsi="游ゴシック" w:hint="eastAsia"/>
          <w:szCs w:val="21"/>
        </w:rPr>
        <w:t>は、この審査基準に従い行うものとする</w:t>
      </w:r>
      <w:r w:rsidR="000415E9" w:rsidRPr="00ED1E62">
        <w:rPr>
          <w:rFonts w:ascii="游ゴシック" w:eastAsia="游ゴシック" w:hAnsi="游ゴシック" w:hint="eastAsia"/>
          <w:szCs w:val="21"/>
        </w:rPr>
        <w:t>。</w:t>
      </w:r>
    </w:p>
    <w:p w14:paraId="0BEB9177" w14:textId="77777777" w:rsidR="000415E9" w:rsidRPr="00ED1E62" w:rsidRDefault="000415E9" w:rsidP="00433519">
      <w:pPr>
        <w:tabs>
          <w:tab w:val="center" w:pos="4535"/>
        </w:tabs>
        <w:spacing w:line="0" w:lineRule="atLeast"/>
        <w:ind w:firstLineChars="100" w:firstLine="197"/>
        <w:jc w:val="left"/>
        <w:rPr>
          <w:rFonts w:ascii="游ゴシック" w:eastAsia="游ゴシック" w:hAnsi="游ゴシック"/>
          <w:szCs w:val="21"/>
        </w:rPr>
      </w:pPr>
    </w:p>
    <w:p w14:paraId="67383F4C" w14:textId="77777777" w:rsidR="00711983" w:rsidRPr="00ED1E62" w:rsidRDefault="00007374" w:rsidP="00433519">
      <w:pPr>
        <w:tabs>
          <w:tab w:val="center" w:pos="4535"/>
        </w:tabs>
        <w:spacing w:line="0" w:lineRule="atLeast"/>
        <w:ind w:firstLineChars="100" w:firstLine="197"/>
        <w:jc w:val="left"/>
        <w:rPr>
          <w:rFonts w:ascii="游ゴシック" w:eastAsia="游ゴシック" w:hAnsi="游ゴシック"/>
          <w:szCs w:val="21"/>
        </w:rPr>
      </w:pPr>
      <w:r w:rsidRPr="00ED1E62">
        <w:rPr>
          <w:rFonts w:ascii="游ゴシック" w:eastAsia="游ゴシック" w:hAnsi="游ゴシック" w:hint="eastAsia"/>
          <w:szCs w:val="21"/>
        </w:rPr>
        <w:t xml:space="preserve">Ⅰ　</w:t>
      </w:r>
      <w:r w:rsidR="00711983" w:rsidRPr="00ED1E62">
        <w:rPr>
          <w:rFonts w:ascii="游ゴシック" w:eastAsia="游ゴシック" w:hAnsi="游ゴシック" w:hint="eastAsia"/>
          <w:szCs w:val="21"/>
        </w:rPr>
        <w:t>選定方法</w:t>
      </w:r>
    </w:p>
    <w:p w14:paraId="73E121DF" w14:textId="3D30A0E8" w:rsidR="00711983" w:rsidRPr="00433519" w:rsidRDefault="00711983" w:rsidP="00433519">
      <w:pPr>
        <w:tabs>
          <w:tab w:val="center" w:pos="4535"/>
        </w:tabs>
        <w:spacing w:line="0" w:lineRule="atLeast"/>
        <w:ind w:leftChars="250" w:left="493" w:firstLineChars="100" w:firstLine="197"/>
        <w:jc w:val="left"/>
        <w:rPr>
          <w:rFonts w:ascii="游ゴシック" w:eastAsia="游ゴシック" w:hAnsi="游ゴシック"/>
          <w:szCs w:val="21"/>
        </w:rPr>
      </w:pPr>
      <w:r w:rsidRPr="00ED1E62">
        <w:rPr>
          <w:rFonts w:ascii="游ゴシック" w:eastAsia="游ゴシック" w:hAnsi="游ゴシック" w:hint="eastAsia"/>
          <w:szCs w:val="21"/>
        </w:rPr>
        <w:t>提出された</w:t>
      </w:r>
      <w:r w:rsidR="00161E1C" w:rsidRPr="00ED1E62">
        <w:rPr>
          <w:rFonts w:ascii="游ゴシック" w:eastAsia="游ゴシック" w:hAnsi="游ゴシック" w:hint="eastAsia"/>
          <w:szCs w:val="21"/>
        </w:rPr>
        <w:t>企画提案書</w:t>
      </w:r>
      <w:r w:rsidRPr="00ED1E62">
        <w:rPr>
          <w:rFonts w:ascii="游ゴシック" w:eastAsia="游ゴシック" w:hAnsi="游ゴシック" w:hint="eastAsia"/>
          <w:szCs w:val="21"/>
        </w:rPr>
        <w:t>について審査を行い、各評価項目の得点合計が高いもの</w:t>
      </w:r>
      <w:r w:rsidR="00433519" w:rsidRPr="00ED1E62">
        <w:rPr>
          <w:rFonts w:ascii="游ゴシック" w:eastAsia="游ゴシック" w:hAnsi="游ゴシック" w:hint="eastAsia"/>
          <w:szCs w:val="21"/>
        </w:rPr>
        <w:t>から順に３団体</w:t>
      </w:r>
      <w:r w:rsidR="00433519">
        <w:rPr>
          <w:rFonts w:ascii="游ゴシック" w:eastAsia="游ゴシック" w:hAnsi="游ゴシック" w:hint="eastAsia"/>
          <w:szCs w:val="21"/>
        </w:rPr>
        <w:t>を選定する。</w:t>
      </w:r>
    </w:p>
    <w:p w14:paraId="1EDD4AFF" w14:textId="77777777" w:rsidR="00711983" w:rsidRPr="00433519" w:rsidRDefault="00711983" w:rsidP="00433519">
      <w:pPr>
        <w:tabs>
          <w:tab w:val="center" w:pos="4535"/>
        </w:tabs>
        <w:spacing w:line="0" w:lineRule="atLeast"/>
        <w:ind w:firstLineChars="100" w:firstLine="197"/>
        <w:jc w:val="left"/>
        <w:rPr>
          <w:rFonts w:ascii="游ゴシック" w:eastAsia="游ゴシック" w:hAnsi="游ゴシック"/>
          <w:szCs w:val="21"/>
        </w:rPr>
      </w:pPr>
    </w:p>
    <w:p w14:paraId="2A92CA2A" w14:textId="77777777" w:rsidR="00711983" w:rsidRPr="00433519" w:rsidRDefault="00711983" w:rsidP="00433519">
      <w:pPr>
        <w:tabs>
          <w:tab w:val="center" w:pos="4535"/>
        </w:tabs>
        <w:spacing w:line="0" w:lineRule="atLeast"/>
        <w:ind w:firstLineChars="100" w:firstLine="197"/>
        <w:jc w:val="left"/>
        <w:rPr>
          <w:rFonts w:ascii="游ゴシック" w:eastAsia="游ゴシック" w:hAnsi="游ゴシック"/>
          <w:szCs w:val="21"/>
        </w:rPr>
      </w:pPr>
      <w:r w:rsidRPr="00433519">
        <w:rPr>
          <w:rFonts w:ascii="游ゴシック" w:eastAsia="游ゴシック" w:hAnsi="游ゴシック" w:hint="eastAsia"/>
          <w:szCs w:val="21"/>
        </w:rPr>
        <w:t>Ⅱ</w:t>
      </w:r>
      <w:r w:rsidR="00007374" w:rsidRPr="00433519">
        <w:rPr>
          <w:rFonts w:ascii="游ゴシック" w:eastAsia="游ゴシック" w:hAnsi="游ゴシック" w:hint="eastAsia"/>
          <w:szCs w:val="21"/>
        </w:rPr>
        <w:t xml:space="preserve">　</w:t>
      </w:r>
      <w:r w:rsidRPr="00433519">
        <w:rPr>
          <w:rFonts w:ascii="游ゴシック" w:eastAsia="游ゴシック" w:hAnsi="游ゴシック" w:hint="eastAsia"/>
          <w:szCs w:val="21"/>
        </w:rPr>
        <w:t>審査方法</w:t>
      </w:r>
    </w:p>
    <w:p w14:paraId="5C628991" w14:textId="6F6D4414" w:rsidR="00711983" w:rsidRPr="00433519" w:rsidRDefault="00161E1C" w:rsidP="00433519">
      <w:pPr>
        <w:tabs>
          <w:tab w:val="center" w:pos="4535"/>
        </w:tabs>
        <w:spacing w:line="0" w:lineRule="atLeast"/>
        <w:ind w:leftChars="250" w:left="493" w:firstLineChars="100" w:firstLine="197"/>
        <w:jc w:val="left"/>
        <w:rPr>
          <w:rFonts w:ascii="游ゴシック" w:eastAsia="游ゴシック" w:hAnsi="游ゴシック"/>
          <w:szCs w:val="21"/>
        </w:rPr>
      </w:pPr>
      <w:r w:rsidRPr="00433519">
        <w:rPr>
          <w:rFonts w:ascii="游ゴシック" w:eastAsia="游ゴシック" w:hAnsi="游ゴシック" w:hint="eastAsia"/>
          <w:szCs w:val="21"/>
        </w:rPr>
        <w:t>企画提案書</w:t>
      </w:r>
      <w:r w:rsidR="00711983" w:rsidRPr="00433519">
        <w:rPr>
          <w:rFonts w:ascii="游ゴシック" w:eastAsia="游ゴシック" w:hAnsi="游ゴシック" w:hint="eastAsia"/>
          <w:szCs w:val="21"/>
        </w:rPr>
        <w:t>に基づき、</w:t>
      </w:r>
      <w:r w:rsidR="00007374" w:rsidRPr="00433519">
        <w:rPr>
          <w:rFonts w:ascii="游ゴシック" w:eastAsia="游ゴシック" w:hAnsi="游ゴシック" w:hint="eastAsia"/>
          <w:szCs w:val="21"/>
        </w:rPr>
        <w:t>日本学生支援機構</w:t>
      </w:r>
      <w:r w:rsidR="00433519">
        <w:rPr>
          <w:rFonts w:ascii="游ゴシック" w:eastAsia="游ゴシック" w:hAnsi="游ゴシック" w:hint="eastAsia"/>
          <w:szCs w:val="21"/>
        </w:rPr>
        <w:t>東京日本語教育センター</w:t>
      </w:r>
      <w:r w:rsidR="00007374" w:rsidRPr="00433519">
        <w:rPr>
          <w:rFonts w:ascii="游ゴシック" w:eastAsia="游ゴシック" w:hAnsi="游ゴシック" w:hint="eastAsia"/>
          <w:szCs w:val="21"/>
        </w:rPr>
        <w:t>内に設置された</w:t>
      </w:r>
      <w:r w:rsidR="00104552" w:rsidRPr="00433519">
        <w:rPr>
          <w:rFonts w:ascii="游ゴシック" w:eastAsia="游ゴシック" w:hAnsi="游ゴシック" w:hint="eastAsia"/>
          <w:szCs w:val="21"/>
        </w:rPr>
        <w:t>「</w:t>
      </w:r>
      <w:r w:rsidR="00433519">
        <w:rPr>
          <w:rFonts w:ascii="游ゴシック" w:eastAsia="游ゴシック" w:hAnsi="游ゴシック" w:hint="eastAsia"/>
          <w:szCs w:val="21"/>
        </w:rPr>
        <w:t>東京日本語教育センター同窓会審査委員</w:t>
      </w:r>
      <w:r w:rsidR="00007374" w:rsidRPr="00433519">
        <w:rPr>
          <w:rFonts w:ascii="游ゴシック" w:eastAsia="游ゴシック" w:hAnsi="游ゴシック" w:hint="eastAsia"/>
          <w:szCs w:val="21"/>
        </w:rPr>
        <w:t>会</w:t>
      </w:r>
      <w:r w:rsidR="00433519">
        <w:rPr>
          <w:rFonts w:ascii="游ゴシック" w:eastAsia="游ゴシック" w:hAnsi="游ゴシック" w:hint="eastAsia"/>
          <w:szCs w:val="21"/>
        </w:rPr>
        <w:t>」（以下「審査委員</w:t>
      </w:r>
      <w:r w:rsidR="00104552" w:rsidRPr="00433519">
        <w:rPr>
          <w:rFonts w:ascii="游ゴシック" w:eastAsia="游ゴシック" w:hAnsi="游ゴシック" w:hint="eastAsia"/>
          <w:szCs w:val="21"/>
        </w:rPr>
        <w:t>会」という。）</w:t>
      </w:r>
      <w:r w:rsidR="00007374" w:rsidRPr="00433519">
        <w:rPr>
          <w:rFonts w:ascii="游ゴシック" w:eastAsia="游ゴシック" w:hAnsi="游ゴシック" w:hint="eastAsia"/>
          <w:szCs w:val="21"/>
        </w:rPr>
        <w:t>において</w:t>
      </w:r>
      <w:r w:rsidR="00433519">
        <w:rPr>
          <w:rFonts w:ascii="游ゴシック" w:eastAsia="游ゴシック" w:hAnsi="游ゴシック" w:hint="eastAsia"/>
          <w:szCs w:val="21"/>
        </w:rPr>
        <w:t>書面</w:t>
      </w:r>
      <w:r w:rsidR="001853DF" w:rsidRPr="00433519">
        <w:rPr>
          <w:rFonts w:ascii="游ゴシック" w:eastAsia="游ゴシック" w:hAnsi="游ゴシック" w:hint="eastAsia"/>
          <w:szCs w:val="21"/>
        </w:rPr>
        <w:t>による</w:t>
      </w:r>
      <w:r w:rsidR="00007374" w:rsidRPr="00433519">
        <w:rPr>
          <w:rFonts w:ascii="游ゴシック" w:eastAsia="游ゴシック" w:hAnsi="游ゴシック" w:hint="eastAsia"/>
          <w:szCs w:val="21"/>
        </w:rPr>
        <w:t>審査を行う。</w:t>
      </w:r>
    </w:p>
    <w:p w14:paraId="4B44777C" w14:textId="77777777" w:rsidR="00007374" w:rsidRPr="00433519" w:rsidRDefault="00007374" w:rsidP="00433519">
      <w:pPr>
        <w:tabs>
          <w:tab w:val="center" w:pos="4535"/>
        </w:tabs>
        <w:spacing w:line="0" w:lineRule="atLeast"/>
        <w:ind w:firstLineChars="200" w:firstLine="394"/>
        <w:jc w:val="left"/>
        <w:rPr>
          <w:rFonts w:ascii="游ゴシック" w:eastAsia="游ゴシック" w:hAnsi="游ゴシック"/>
          <w:szCs w:val="21"/>
        </w:rPr>
      </w:pPr>
    </w:p>
    <w:p w14:paraId="1CA8BAE6" w14:textId="77777777" w:rsidR="009E1974" w:rsidRPr="00433519" w:rsidRDefault="00007374" w:rsidP="00433519">
      <w:pPr>
        <w:tabs>
          <w:tab w:val="center" w:pos="4535"/>
        </w:tabs>
        <w:spacing w:line="0" w:lineRule="atLeast"/>
        <w:ind w:firstLineChars="100" w:firstLine="197"/>
        <w:jc w:val="left"/>
        <w:rPr>
          <w:rFonts w:ascii="游ゴシック" w:eastAsia="游ゴシック" w:hAnsi="游ゴシック"/>
          <w:szCs w:val="21"/>
        </w:rPr>
      </w:pPr>
      <w:r w:rsidRPr="00433519">
        <w:rPr>
          <w:rFonts w:ascii="游ゴシック" w:eastAsia="游ゴシック" w:hAnsi="游ゴシック" w:hint="eastAsia"/>
          <w:szCs w:val="21"/>
        </w:rPr>
        <w:t>Ⅲ　評価方法</w:t>
      </w:r>
    </w:p>
    <w:p w14:paraId="1016BDC8" w14:textId="77777777" w:rsidR="000415E9" w:rsidRPr="00433519" w:rsidRDefault="00007374" w:rsidP="00433519">
      <w:pPr>
        <w:tabs>
          <w:tab w:val="center" w:pos="4535"/>
        </w:tabs>
        <w:spacing w:line="0" w:lineRule="atLeast"/>
        <w:ind w:leftChars="250" w:left="493" w:firstLineChars="100" w:firstLine="197"/>
        <w:jc w:val="left"/>
        <w:rPr>
          <w:rFonts w:ascii="游ゴシック" w:eastAsia="游ゴシック" w:hAnsi="游ゴシック"/>
          <w:szCs w:val="21"/>
        </w:rPr>
      </w:pPr>
      <w:r w:rsidRPr="00433519">
        <w:rPr>
          <w:rFonts w:ascii="游ゴシック" w:eastAsia="游ゴシック" w:hAnsi="游ゴシック" w:hint="eastAsia"/>
          <w:szCs w:val="21"/>
        </w:rPr>
        <w:t>評価は、</w:t>
      </w:r>
      <w:r w:rsidR="008931AD" w:rsidRPr="00433519">
        <w:rPr>
          <w:rFonts w:ascii="游ゴシック" w:eastAsia="游ゴシック" w:hAnsi="游ゴシック" w:hint="eastAsia"/>
          <w:szCs w:val="21"/>
        </w:rPr>
        <w:t>「Ⅴ</w:t>
      </w:r>
      <w:r w:rsidR="009E1974" w:rsidRPr="00433519">
        <w:rPr>
          <w:rFonts w:ascii="游ゴシック" w:eastAsia="游ゴシック" w:hAnsi="游ゴシック" w:hint="eastAsia"/>
          <w:szCs w:val="21"/>
        </w:rPr>
        <w:t xml:space="preserve">　審査の観点</w:t>
      </w:r>
      <w:r w:rsidR="008931AD" w:rsidRPr="00433519">
        <w:rPr>
          <w:rFonts w:ascii="游ゴシック" w:eastAsia="游ゴシック" w:hAnsi="游ゴシック" w:hint="eastAsia"/>
          <w:szCs w:val="21"/>
        </w:rPr>
        <w:t>と配点</w:t>
      </w:r>
      <w:r w:rsidR="009E1974" w:rsidRPr="00433519">
        <w:rPr>
          <w:rFonts w:ascii="游ゴシック" w:eastAsia="游ゴシック" w:hAnsi="游ゴシック" w:hint="eastAsia"/>
          <w:szCs w:val="21"/>
        </w:rPr>
        <w:t>」の各項目について、下表に示す評価基準に基づき６</w:t>
      </w:r>
      <w:r w:rsidRPr="00433519">
        <w:rPr>
          <w:rFonts w:ascii="游ゴシック" w:eastAsia="游ゴシック" w:hAnsi="游ゴシック" w:hint="eastAsia"/>
          <w:szCs w:val="21"/>
        </w:rPr>
        <w:t>段階評価とする。</w:t>
      </w:r>
      <w:r w:rsidR="000415E9" w:rsidRPr="00433519">
        <w:rPr>
          <w:rFonts w:ascii="游ゴシック" w:eastAsia="游ゴシック" w:hAnsi="游ゴシック" w:hint="eastAsia"/>
          <w:szCs w:val="21"/>
        </w:rPr>
        <w:t>ただし、項目ごとに配分が10点満点の場合は係数２を</w:t>
      </w:r>
      <w:r w:rsidR="009E1974" w:rsidRPr="00433519">
        <w:rPr>
          <w:rFonts w:ascii="游ゴシック" w:eastAsia="游ゴシック" w:hAnsi="游ゴシック" w:hint="eastAsia"/>
          <w:szCs w:val="21"/>
        </w:rPr>
        <w:t>乗じた得点とし、配分が</w:t>
      </w:r>
      <w:r w:rsidR="00497656" w:rsidRPr="00433519">
        <w:rPr>
          <w:rFonts w:ascii="游ゴシック" w:eastAsia="游ゴシック" w:hAnsi="游ゴシック" w:hint="eastAsia"/>
          <w:szCs w:val="21"/>
        </w:rPr>
        <w:t>15</w:t>
      </w:r>
      <w:r w:rsidR="009E1974" w:rsidRPr="00433519">
        <w:rPr>
          <w:rFonts w:ascii="游ゴシック" w:eastAsia="游ゴシック" w:hAnsi="游ゴシック" w:hint="eastAsia"/>
          <w:szCs w:val="21"/>
        </w:rPr>
        <w:t>点満点の場合は係数</w:t>
      </w:r>
      <w:r w:rsidR="00497656" w:rsidRPr="00433519">
        <w:rPr>
          <w:rFonts w:ascii="游ゴシック" w:eastAsia="游ゴシック" w:hAnsi="游ゴシック" w:hint="eastAsia"/>
          <w:szCs w:val="21"/>
        </w:rPr>
        <w:t>３</w:t>
      </w:r>
      <w:r w:rsidR="009E1974" w:rsidRPr="00433519">
        <w:rPr>
          <w:rFonts w:ascii="游ゴシック" w:eastAsia="游ゴシック" w:hAnsi="游ゴシック" w:hint="eastAsia"/>
          <w:szCs w:val="21"/>
        </w:rPr>
        <w:t>を</w:t>
      </w:r>
      <w:r w:rsidR="000415E9" w:rsidRPr="00433519">
        <w:rPr>
          <w:rFonts w:ascii="游ゴシック" w:eastAsia="游ゴシック" w:hAnsi="游ゴシック" w:hint="eastAsia"/>
          <w:szCs w:val="21"/>
        </w:rPr>
        <w:t>乗じた得点と</w:t>
      </w:r>
      <w:r w:rsidR="00127752" w:rsidRPr="00433519">
        <w:rPr>
          <w:rFonts w:ascii="游ゴシック" w:eastAsia="游ゴシック" w:hAnsi="游ゴシック" w:hint="eastAsia"/>
          <w:szCs w:val="21"/>
        </w:rPr>
        <w:t>し、配分が35点満点の場合は係数７を乗じた得点とする</w:t>
      </w:r>
      <w:r w:rsidR="000415E9" w:rsidRPr="00433519">
        <w:rPr>
          <w:rFonts w:ascii="游ゴシック" w:eastAsia="游ゴシック" w:hAnsi="游ゴシック" w:hint="eastAsia"/>
          <w:szCs w:val="21"/>
        </w:rPr>
        <w:t>。</w:t>
      </w:r>
    </w:p>
    <w:p w14:paraId="537B6C49" w14:textId="77777777" w:rsidR="00D82D28" w:rsidRPr="00433519" w:rsidRDefault="00D82D28" w:rsidP="00433519">
      <w:pPr>
        <w:tabs>
          <w:tab w:val="center" w:pos="4535"/>
        </w:tabs>
        <w:spacing w:line="0" w:lineRule="atLeast"/>
        <w:ind w:leftChars="100" w:left="197"/>
        <w:jc w:val="left"/>
        <w:rPr>
          <w:rFonts w:ascii="游ゴシック" w:eastAsia="游ゴシック" w:hAnsi="游ゴシック"/>
          <w:szCs w:val="21"/>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tblGrid>
      <w:tr w:rsidR="00D82D28" w:rsidRPr="00433519" w14:paraId="103B43EC"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40F60310"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項目の評価基準</w:t>
            </w:r>
          </w:p>
        </w:tc>
        <w:tc>
          <w:tcPr>
            <w:tcW w:w="1620" w:type="dxa"/>
            <w:tcBorders>
              <w:top w:val="single" w:sz="4" w:space="0" w:color="auto"/>
              <w:left w:val="single" w:sz="4" w:space="0" w:color="auto"/>
              <w:bottom w:val="single" w:sz="4" w:space="0" w:color="auto"/>
              <w:right w:val="single" w:sz="4" w:space="0" w:color="auto"/>
            </w:tcBorders>
            <w:hideMark/>
          </w:tcPr>
          <w:p w14:paraId="38E04EC9"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評価点</w:t>
            </w:r>
          </w:p>
        </w:tc>
      </w:tr>
      <w:tr w:rsidR="00D82D28" w:rsidRPr="00433519" w14:paraId="6ABFE84A"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4CA9727A" w14:textId="77777777" w:rsidR="00D82D28" w:rsidRPr="00433519" w:rsidRDefault="00A258ED"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大変</w:t>
            </w:r>
            <w:r w:rsidR="00D82D28" w:rsidRPr="00433519">
              <w:rPr>
                <w:rFonts w:ascii="游ゴシック" w:eastAsia="游ゴシック" w:hAnsi="游ゴシック" w:hint="eastAsia"/>
                <w:szCs w:val="21"/>
              </w:rPr>
              <w:t>優れている</w:t>
            </w:r>
          </w:p>
        </w:tc>
        <w:tc>
          <w:tcPr>
            <w:tcW w:w="1620" w:type="dxa"/>
            <w:tcBorders>
              <w:top w:val="single" w:sz="4" w:space="0" w:color="auto"/>
              <w:left w:val="single" w:sz="4" w:space="0" w:color="auto"/>
              <w:bottom w:val="single" w:sz="4" w:space="0" w:color="auto"/>
              <w:right w:val="single" w:sz="4" w:space="0" w:color="auto"/>
            </w:tcBorders>
            <w:hideMark/>
          </w:tcPr>
          <w:p w14:paraId="1B997F93"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５</w:t>
            </w:r>
          </w:p>
        </w:tc>
      </w:tr>
      <w:tr w:rsidR="00D82D28" w:rsidRPr="00433519" w14:paraId="0826E52F"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5F3F606F" w14:textId="77777777" w:rsidR="00D82D28" w:rsidRPr="00433519" w:rsidRDefault="00D82D28"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優れている</w:t>
            </w:r>
          </w:p>
        </w:tc>
        <w:tc>
          <w:tcPr>
            <w:tcW w:w="1620" w:type="dxa"/>
            <w:tcBorders>
              <w:top w:val="single" w:sz="4" w:space="0" w:color="auto"/>
              <w:left w:val="single" w:sz="4" w:space="0" w:color="auto"/>
              <w:bottom w:val="single" w:sz="4" w:space="0" w:color="auto"/>
              <w:right w:val="single" w:sz="4" w:space="0" w:color="auto"/>
            </w:tcBorders>
            <w:hideMark/>
          </w:tcPr>
          <w:p w14:paraId="1D635E57"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４</w:t>
            </w:r>
          </w:p>
        </w:tc>
      </w:tr>
      <w:tr w:rsidR="00D82D28" w:rsidRPr="00433519" w14:paraId="62FFD8B0"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5732EAAE" w14:textId="77777777" w:rsidR="00D82D28" w:rsidRPr="00433519" w:rsidRDefault="009E1974"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やや優れている</w:t>
            </w:r>
          </w:p>
        </w:tc>
        <w:tc>
          <w:tcPr>
            <w:tcW w:w="1620" w:type="dxa"/>
            <w:tcBorders>
              <w:top w:val="single" w:sz="4" w:space="0" w:color="auto"/>
              <w:left w:val="single" w:sz="4" w:space="0" w:color="auto"/>
              <w:bottom w:val="single" w:sz="4" w:space="0" w:color="auto"/>
              <w:right w:val="single" w:sz="4" w:space="0" w:color="auto"/>
            </w:tcBorders>
            <w:hideMark/>
          </w:tcPr>
          <w:p w14:paraId="5761EE4D"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３</w:t>
            </w:r>
          </w:p>
        </w:tc>
      </w:tr>
      <w:tr w:rsidR="00D82D28" w:rsidRPr="00433519" w14:paraId="3C4E499F"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0C28B42D" w14:textId="77777777" w:rsidR="00D82D28" w:rsidRPr="00433519" w:rsidRDefault="009E1974"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評価し得る</w:t>
            </w:r>
          </w:p>
        </w:tc>
        <w:tc>
          <w:tcPr>
            <w:tcW w:w="1620" w:type="dxa"/>
            <w:tcBorders>
              <w:top w:val="single" w:sz="4" w:space="0" w:color="auto"/>
              <w:left w:val="single" w:sz="4" w:space="0" w:color="auto"/>
              <w:bottom w:val="single" w:sz="4" w:space="0" w:color="auto"/>
              <w:right w:val="single" w:sz="4" w:space="0" w:color="auto"/>
            </w:tcBorders>
            <w:hideMark/>
          </w:tcPr>
          <w:p w14:paraId="1094ECD4"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２</w:t>
            </w:r>
          </w:p>
        </w:tc>
      </w:tr>
      <w:tr w:rsidR="00D82D28" w:rsidRPr="00433519" w14:paraId="6AA10B3D" w14:textId="77777777" w:rsidTr="00D82D28">
        <w:tc>
          <w:tcPr>
            <w:tcW w:w="3780" w:type="dxa"/>
            <w:tcBorders>
              <w:top w:val="single" w:sz="4" w:space="0" w:color="auto"/>
              <w:left w:val="single" w:sz="4" w:space="0" w:color="auto"/>
              <w:bottom w:val="single" w:sz="4" w:space="0" w:color="auto"/>
              <w:right w:val="single" w:sz="4" w:space="0" w:color="auto"/>
            </w:tcBorders>
            <w:hideMark/>
          </w:tcPr>
          <w:p w14:paraId="226B32FA" w14:textId="77777777" w:rsidR="00D82D28" w:rsidRPr="00433519" w:rsidRDefault="009E1974"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最低限評価し得る</w:t>
            </w:r>
          </w:p>
        </w:tc>
        <w:tc>
          <w:tcPr>
            <w:tcW w:w="1620" w:type="dxa"/>
            <w:tcBorders>
              <w:top w:val="single" w:sz="4" w:space="0" w:color="auto"/>
              <w:left w:val="single" w:sz="4" w:space="0" w:color="auto"/>
              <w:bottom w:val="single" w:sz="4" w:space="0" w:color="auto"/>
              <w:right w:val="single" w:sz="4" w:space="0" w:color="auto"/>
            </w:tcBorders>
            <w:hideMark/>
          </w:tcPr>
          <w:p w14:paraId="058F6EF9" w14:textId="77777777" w:rsidR="00D82D28" w:rsidRPr="00433519" w:rsidRDefault="00D82D28"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１</w:t>
            </w:r>
          </w:p>
        </w:tc>
      </w:tr>
      <w:tr w:rsidR="009E1974" w:rsidRPr="00433519" w14:paraId="5C6E341B" w14:textId="77777777" w:rsidTr="00D82D28">
        <w:tc>
          <w:tcPr>
            <w:tcW w:w="3780" w:type="dxa"/>
            <w:tcBorders>
              <w:top w:val="single" w:sz="4" w:space="0" w:color="auto"/>
              <w:left w:val="single" w:sz="4" w:space="0" w:color="auto"/>
              <w:bottom w:val="single" w:sz="4" w:space="0" w:color="auto"/>
              <w:right w:val="single" w:sz="4" w:space="0" w:color="auto"/>
            </w:tcBorders>
          </w:tcPr>
          <w:p w14:paraId="3F39199F" w14:textId="77777777" w:rsidR="009E1974" w:rsidRPr="00433519" w:rsidRDefault="009E1974" w:rsidP="00433519">
            <w:pPr>
              <w:spacing w:line="0" w:lineRule="atLeast"/>
              <w:rPr>
                <w:rFonts w:ascii="游ゴシック" w:eastAsia="游ゴシック" w:hAnsi="游ゴシック"/>
                <w:szCs w:val="21"/>
              </w:rPr>
            </w:pPr>
            <w:r w:rsidRPr="00433519">
              <w:rPr>
                <w:rFonts w:ascii="游ゴシック" w:eastAsia="游ゴシック" w:hAnsi="游ゴシック" w:hint="eastAsia"/>
                <w:szCs w:val="21"/>
              </w:rPr>
              <w:t>要件を満たしていない、記載等なし</w:t>
            </w:r>
          </w:p>
        </w:tc>
        <w:tc>
          <w:tcPr>
            <w:tcW w:w="1620" w:type="dxa"/>
            <w:tcBorders>
              <w:top w:val="single" w:sz="4" w:space="0" w:color="auto"/>
              <w:left w:val="single" w:sz="4" w:space="0" w:color="auto"/>
              <w:bottom w:val="single" w:sz="4" w:space="0" w:color="auto"/>
              <w:right w:val="single" w:sz="4" w:space="0" w:color="auto"/>
            </w:tcBorders>
          </w:tcPr>
          <w:p w14:paraId="0C98C946" w14:textId="77777777" w:rsidR="009E1974" w:rsidRPr="00433519" w:rsidRDefault="009E1974" w:rsidP="00433519">
            <w:pPr>
              <w:spacing w:line="0" w:lineRule="atLeast"/>
              <w:jc w:val="center"/>
              <w:rPr>
                <w:rFonts w:ascii="游ゴシック" w:eastAsia="游ゴシック" w:hAnsi="游ゴシック"/>
                <w:szCs w:val="21"/>
              </w:rPr>
            </w:pPr>
            <w:r w:rsidRPr="00433519">
              <w:rPr>
                <w:rFonts w:ascii="游ゴシック" w:eastAsia="游ゴシック" w:hAnsi="游ゴシック" w:hint="eastAsia"/>
                <w:szCs w:val="21"/>
              </w:rPr>
              <w:t>０</w:t>
            </w:r>
          </w:p>
        </w:tc>
      </w:tr>
    </w:tbl>
    <w:p w14:paraId="0AD1DA0F" w14:textId="77777777" w:rsidR="000415E9" w:rsidRPr="00433519" w:rsidRDefault="000415E9" w:rsidP="00433519">
      <w:pPr>
        <w:tabs>
          <w:tab w:val="center" w:pos="4535"/>
        </w:tabs>
        <w:spacing w:line="0" w:lineRule="atLeast"/>
        <w:ind w:leftChars="100" w:left="197"/>
        <w:jc w:val="left"/>
        <w:rPr>
          <w:rFonts w:ascii="游ゴシック" w:eastAsia="游ゴシック" w:hAnsi="游ゴシック"/>
          <w:szCs w:val="21"/>
        </w:rPr>
      </w:pPr>
    </w:p>
    <w:p w14:paraId="2FA73AA8" w14:textId="77777777" w:rsidR="00127752" w:rsidRPr="00433519" w:rsidRDefault="00127752" w:rsidP="00433519">
      <w:pPr>
        <w:autoSpaceDE w:val="0"/>
        <w:autoSpaceDN w:val="0"/>
        <w:adjustRightInd w:val="0"/>
        <w:spacing w:line="0" w:lineRule="atLeast"/>
        <w:ind w:firstLineChars="100" w:firstLine="197"/>
        <w:jc w:val="left"/>
        <w:rPr>
          <w:rFonts w:ascii="游ゴシック" w:eastAsia="游ゴシック" w:hAnsi="游ゴシック" w:cs="ＭＳ 明朝"/>
          <w:kern w:val="0"/>
          <w:szCs w:val="21"/>
        </w:rPr>
      </w:pPr>
      <w:r w:rsidRPr="00433519">
        <w:rPr>
          <w:rFonts w:ascii="游ゴシック" w:eastAsia="游ゴシック" w:hAnsi="游ゴシック" w:cs="ＭＳ 明朝" w:hint="eastAsia"/>
          <w:kern w:val="0"/>
          <w:szCs w:val="21"/>
        </w:rPr>
        <w:t>Ⅳ　失格</w:t>
      </w:r>
    </w:p>
    <w:p w14:paraId="3D820444" w14:textId="77777777" w:rsidR="00127752" w:rsidRPr="00433519" w:rsidRDefault="0019687F" w:rsidP="00433519">
      <w:pPr>
        <w:autoSpaceDE w:val="0"/>
        <w:autoSpaceDN w:val="0"/>
        <w:adjustRightInd w:val="0"/>
        <w:spacing w:line="0" w:lineRule="atLeast"/>
        <w:ind w:leftChars="200" w:left="394" w:firstLineChars="100" w:firstLine="197"/>
        <w:jc w:val="left"/>
        <w:rPr>
          <w:rFonts w:ascii="游ゴシック" w:eastAsia="游ゴシック" w:hAnsi="游ゴシック"/>
          <w:szCs w:val="21"/>
        </w:rPr>
      </w:pPr>
      <w:r w:rsidRPr="00433519">
        <w:rPr>
          <w:rFonts w:ascii="游ゴシック" w:eastAsia="游ゴシック" w:hAnsi="游ゴシック" w:cs="ＭＳ 明朝" w:hint="eastAsia"/>
          <w:kern w:val="0"/>
          <w:szCs w:val="21"/>
        </w:rPr>
        <w:t>「Ⅴ　審査の観点と配点」の各項目</w:t>
      </w:r>
      <w:r w:rsidR="00127752" w:rsidRPr="00433519">
        <w:rPr>
          <w:rFonts w:ascii="游ゴシック" w:eastAsia="游ゴシック" w:hAnsi="游ゴシック" w:cs="ＭＳ 明朝" w:hint="eastAsia"/>
          <w:kern w:val="0"/>
          <w:szCs w:val="21"/>
        </w:rPr>
        <w:t>において、要件を</w:t>
      </w:r>
      <w:r w:rsidRPr="00433519">
        <w:rPr>
          <w:rFonts w:ascii="游ゴシック" w:eastAsia="游ゴシック" w:hAnsi="游ゴシック" w:cs="ＭＳ 明朝" w:hint="eastAsia"/>
          <w:kern w:val="0"/>
          <w:szCs w:val="21"/>
        </w:rPr>
        <w:t>満</w:t>
      </w:r>
      <w:r w:rsidR="00127752" w:rsidRPr="00433519">
        <w:rPr>
          <w:rFonts w:ascii="游ゴシック" w:eastAsia="游ゴシック" w:hAnsi="游ゴシック" w:cs="ＭＳ 明朝" w:hint="eastAsia"/>
          <w:kern w:val="0"/>
          <w:szCs w:val="21"/>
        </w:rPr>
        <w:t>たしていない、記載等がなく、１つでも「０点」となった場合は失格とする。</w:t>
      </w:r>
    </w:p>
    <w:p w14:paraId="3FEA7840" w14:textId="77777777" w:rsidR="00127752" w:rsidRPr="00433519" w:rsidRDefault="00127752" w:rsidP="00433519">
      <w:pPr>
        <w:tabs>
          <w:tab w:val="center" w:pos="4535"/>
        </w:tabs>
        <w:spacing w:line="0" w:lineRule="atLeast"/>
        <w:ind w:leftChars="100" w:left="197"/>
        <w:jc w:val="left"/>
        <w:rPr>
          <w:rFonts w:ascii="游ゴシック" w:eastAsia="游ゴシック" w:hAnsi="游ゴシック"/>
          <w:szCs w:val="21"/>
        </w:rPr>
      </w:pPr>
    </w:p>
    <w:p w14:paraId="2113F709" w14:textId="77777777" w:rsidR="00D82D28" w:rsidRPr="00433519" w:rsidRDefault="00127752" w:rsidP="00433519">
      <w:pPr>
        <w:spacing w:line="0" w:lineRule="atLeast"/>
        <w:ind w:firstLineChars="100" w:firstLine="197"/>
        <w:rPr>
          <w:rFonts w:ascii="游ゴシック" w:eastAsia="游ゴシック" w:hAnsi="游ゴシック"/>
          <w:szCs w:val="21"/>
        </w:rPr>
      </w:pPr>
      <w:r w:rsidRPr="00433519">
        <w:rPr>
          <w:rFonts w:ascii="游ゴシック" w:eastAsia="游ゴシック" w:hAnsi="游ゴシック" w:hint="eastAsia"/>
          <w:szCs w:val="21"/>
        </w:rPr>
        <w:t>Ⅴ</w:t>
      </w:r>
      <w:r w:rsidR="009F2374" w:rsidRPr="00433519">
        <w:rPr>
          <w:rFonts w:ascii="游ゴシック" w:eastAsia="游ゴシック" w:hAnsi="游ゴシック" w:hint="eastAsia"/>
          <w:szCs w:val="21"/>
        </w:rPr>
        <w:t xml:space="preserve">　</w:t>
      </w:r>
      <w:r w:rsidR="00D82D28" w:rsidRPr="00433519">
        <w:rPr>
          <w:rFonts w:ascii="游ゴシック" w:eastAsia="游ゴシック" w:hAnsi="游ゴシック" w:hint="eastAsia"/>
          <w:szCs w:val="21"/>
        </w:rPr>
        <w:t>審査</w:t>
      </w:r>
      <w:r w:rsidR="00E50142" w:rsidRPr="00433519">
        <w:rPr>
          <w:rFonts w:ascii="游ゴシック" w:eastAsia="游ゴシック" w:hAnsi="游ゴシック" w:hint="eastAsia"/>
          <w:szCs w:val="21"/>
        </w:rPr>
        <w:t>の観点と配点</w:t>
      </w:r>
    </w:p>
    <w:p w14:paraId="4A4D3B8C" w14:textId="4278277A" w:rsidR="00252247" w:rsidRPr="00433519" w:rsidRDefault="00E41EE5" w:rsidP="00E41EE5">
      <w:pPr>
        <w:spacing w:line="0" w:lineRule="atLeast"/>
        <w:ind w:firstLineChars="200" w:firstLine="394"/>
        <w:rPr>
          <w:rFonts w:ascii="游ゴシック" w:eastAsia="游ゴシック" w:hAnsi="游ゴシック"/>
          <w:szCs w:val="21"/>
        </w:rPr>
      </w:pPr>
      <w:r>
        <w:rPr>
          <w:rFonts w:ascii="游ゴシック" w:eastAsia="游ゴシック" w:hAnsi="游ゴシック" w:hint="eastAsia"/>
          <w:szCs w:val="21"/>
        </w:rPr>
        <w:t>１</w:t>
      </w:r>
      <w:r w:rsidR="00252247" w:rsidRPr="00433519">
        <w:rPr>
          <w:rFonts w:ascii="游ゴシック" w:eastAsia="游ゴシック" w:hAnsi="游ゴシック" w:hint="eastAsia"/>
          <w:szCs w:val="21"/>
        </w:rPr>
        <w:t>．事業の内容</w:t>
      </w:r>
      <w:r w:rsidR="00E95A96" w:rsidRPr="00FB2AE5">
        <w:rPr>
          <w:rFonts w:ascii="游ゴシック" w:eastAsia="游ゴシック" w:hAnsi="游ゴシック" w:hint="eastAsia"/>
          <w:szCs w:val="21"/>
        </w:rPr>
        <w:t>（</w:t>
      </w:r>
      <w:r w:rsidR="00E50142" w:rsidRPr="00FB2AE5">
        <w:rPr>
          <w:rFonts w:ascii="游ゴシック" w:eastAsia="游ゴシック" w:hAnsi="游ゴシック" w:hint="eastAsia"/>
          <w:szCs w:val="21"/>
        </w:rPr>
        <w:t>配分</w:t>
      </w:r>
      <w:r w:rsidR="00D82D28" w:rsidRPr="00FB2AE5">
        <w:rPr>
          <w:rFonts w:ascii="游ゴシック" w:eastAsia="游ゴシック" w:hAnsi="游ゴシック" w:hint="eastAsia"/>
          <w:szCs w:val="21"/>
        </w:rPr>
        <w:t>小計</w:t>
      </w:r>
      <w:r w:rsidRPr="00FB2AE5">
        <w:rPr>
          <w:rFonts w:ascii="游ゴシック" w:eastAsia="游ゴシック" w:hAnsi="游ゴシック"/>
          <w:szCs w:val="21"/>
        </w:rPr>
        <w:t>45</w:t>
      </w:r>
      <w:r w:rsidR="004829EA" w:rsidRPr="00FB2AE5">
        <w:rPr>
          <w:rFonts w:ascii="游ゴシック" w:eastAsia="游ゴシック" w:hAnsi="游ゴシック" w:hint="eastAsia"/>
          <w:szCs w:val="21"/>
        </w:rPr>
        <w:t>点</w:t>
      </w:r>
      <w:r w:rsidR="00E95A96" w:rsidRPr="00FB2AE5">
        <w:rPr>
          <w:rFonts w:ascii="游ゴシック" w:eastAsia="游ゴシック" w:hAnsi="游ゴシック" w:hint="eastAsia"/>
          <w:szCs w:val="21"/>
        </w:rPr>
        <w:t>）</w:t>
      </w:r>
    </w:p>
    <w:p w14:paraId="0FF246D9" w14:textId="245F5D90" w:rsidR="00B02E2F" w:rsidRPr="00FB2AE5" w:rsidRDefault="00364835" w:rsidP="00433519">
      <w:pPr>
        <w:spacing w:line="0" w:lineRule="atLeast"/>
        <w:ind w:leftChars="305" w:left="995" w:hangingChars="200" w:hanging="394"/>
        <w:rPr>
          <w:rFonts w:ascii="游ゴシック" w:eastAsia="游ゴシック" w:hAnsi="游ゴシック"/>
          <w:szCs w:val="21"/>
        </w:rPr>
      </w:pPr>
      <w:r w:rsidRPr="00433519">
        <w:rPr>
          <w:rFonts w:ascii="游ゴシック" w:eastAsia="游ゴシック" w:hAnsi="游ゴシック" w:hint="eastAsia"/>
          <w:szCs w:val="21"/>
        </w:rPr>
        <w:t>（</w:t>
      </w:r>
      <w:r w:rsidR="004829EA" w:rsidRPr="00433519">
        <w:rPr>
          <w:rFonts w:ascii="游ゴシック" w:eastAsia="游ゴシック" w:hAnsi="游ゴシック" w:hint="eastAsia"/>
          <w:szCs w:val="21"/>
        </w:rPr>
        <w:t>１</w:t>
      </w:r>
      <w:r w:rsidRPr="00433519">
        <w:rPr>
          <w:rFonts w:ascii="游ゴシック" w:eastAsia="游ゴシック" w:hAnsi="游ゴシック" w:hint="eastAsia"/>
          <w:szCs w:val="21"/>
        </w:rPr>
        <w:t>）</w:t>
      </w:r>
      <w:r w:rsidR="00433519">
        <w:rPr>
          <w:rFonts w:ascii="游ゴシック" w:eastAsia="游ゴシック" w:hAnsi="游ゴシック" w:hint="eastAsia"/>
          <w:szCs w:val="21"/>
        </w:rPr>
        <w:t>公認同窓会の有する卒業生のネットワークやコミュニティを</w:t>
      </w:r>
      <w:r w:rsidR="00D465D9">
        <w:rPr>
          <w:rFonts w:ascii="游ゴシック" w:eastAsia="游ゴシック" w:hAnsi="游ゴシック" w:hint="eastAsia"/>
          <w:szCs w:val="21"/>
        </w:rPr>
        <w:t>活かした積極的な広報活動により、当該国・地域を中心とする優秀な志願者の掘り起こしと</w:t>
      </w:r>
      <w:r w:rsidR="004D28F6">
        <w:rPr>
          <w:rFonts w:ascii="游ゴシック" w:eastAsia="游ゴシック" w:hAnsi="游ゴシック" w:hint="eastAsia"/>
          <w:szCs w:val="21"/>
        </w:rPr>
        <w:t>、センターへの</w:t>
      </w:r>
      <w:r w:rsidR="00D465D9">
        <w:rPr>
          <w:rFonts w:ascii="游ゴシック" w:eastAsia="游ゴシック" w:hAnsi="游ゴシック" w:hint="eastAsia"/>
          <w:szCs w:val="21"/>
        </w:rPr>
        <w:t>推薦</w:t>
      </w:r>
      <w:r w:rsidR="004D28F6">
        <w:rPr>
          <w:rFonts w:ascii="游ゴシック" w:eastAsia="游ゴシック" w:hAnsi="游ゴシック" w:hint="eastAsia"/>
          <w:szCs w:val="21"/>
        </w:rPr>
        <w:t>の</w:t>
      </w:r>
      <w:r w:rsidR="00D465D9">
        <w:rPr>
          <w:rFonts w:ascii="游ゴシック" w:eastAsia="游ゴシック" w:hAnsi="游ゴシック" w:hint="eastAsia"/>
          <w:szCs w:val="21"/>
        </w:rPr>
        <w:t>実現</w:t>
      </w:r>
      <w:r w:rsidR="00DF7DFC" w:rsidRPr="00433519">
        <w:rPr>
          <w:rFonts w:ascii="游ゴシック" w:eastAsia="游ゴシック" w:hAnsi="游ゴシック" w:hint="eastAsia"/>
          <w:szCs w:val="21"/>
        </w:rPr>
        <w:t>に留意した提案であること。</w:t>
      </w:r>
      <w:r w:rsidR="00ED1E62">
        <w:rPr>
          <w:rFonts w:ascii="游ゴシック" w:eastAsia="游ゴシック" w:hAnsi="游ゴシック" w:hint="eastAsia"/>
          <w:szCs w:val="21"/>
        </w:rPr>
        <w:t>既に提案内容に係る活動実績を有する公認同窓会については、実績の内容と今後の展望についても記載されていること（以下（２）・（３）についても同様とする）。</w:t>
      </w:r>
      <w:r w:rsidR="005E2999" w:rsidRPr="00FB2AE5">
        <w:rPr>
          <w:rFonts w:ascii="游ゴシック" w:eastAsia="游ゴシック" w:hAnsi="游ゴシック" w:hint="eastAsia"/>
          <w:szCs w:val="21"/>
        </w:rPr>
        <w:t>（配点</w:t>
      </w:r>
      <w:r w:rsidR="00497656" w:rsidRPr="00FB2AE5">
        <w:rPr>
          <w:rFonts w:ascii="游ゴシック" w:eastAsia="游ゴシック" w:hAnsi="游ゴシック" w:hint="eastAsia"/>
          <w:szCs w:val="21"/>
        </w:rPr>
        <w:t>15</w:t>
      </w:r>
      <w:r w:rsidR="005E2999" w:rsidRPr="00FB2AE5">
        <w:rPr>
          <w:rFonts w:ascii="游ゴシック" w:eastAsia="游ゴシック" w:hAnsi="游ゴシック"/>
          <w:szCs w:val="21"/>
        </w:rPr>
        <w:t>点）</w:t>
      </w:r>
    </w:p>
    <w:p w14:paraId="5C94B644" w14:textId="77777777" w:rsidR="006B5B24" w:rsidRPr="00FB2AE5" w:rsidRDefault="006B5B24" w:rsidP="00433519">
      <w:pPr>
        <w:spacing w:line="0" w:lineRule="atLeast"/>
        <w:ind w:leftChars="100" w:left="591" w:hangingChars="200" w:hanging="394"/>
        <w:rPr>
          <w:rFonts w:ascii="游ゴシック" w:eastAsia="游ゴシック" w:hAnsi="游ゴシック"/>
          <w:szCs w:val="21"/>
        </w:rPr>
      </w:pPr>
    </w:p>
    <w:p w14:paraId="50213AD3" w14:textId="030B264E" w:rsidR="005E2999" w:rsidRPr="00FB2AE5" w:rsidRDefault="004829EA" w:rsidP="00433519">
      <w:pPr>
        <w:spacing w:line="0" w:lineRule="atLeast"/>
        <w:ind w:leftChars="300" w:left="986" w:hangingChars="200" w:hanging="394"/>
        <w:rPr>
          <w:rFonts w:ascii="游ゴシック" w:eastAsia="游ゴシック" w:hAnsi="游ゴシック"/>
          <w:szCs w:val="21"/>
        </w:rPr>
      </w:pPr>
      <w:r w:rsidRPr="00FB2AE5">
        <w:rPr>
          <w:rFonts w:ascii="游ゴシック" w:eastAsia="游ゴシック" w:hAnsi="游ゴシック" w:hint="eastAsia"/>
          <w:szCs w:val="21"/>
        </w:rPr>
        <w:lastRenderedPageBreak/>
        <w:t>（２）</w:t>
      </w:r>
      <w:r w:rsidR="00D465D9" w:rsidRPr="00FB2AE5">
        <w:rPr>
          <w:rFonts w:ascii="游ゴシック" w:eastAsia="游ゴシック" w:hAnsi="游ゴシック" w:hint="eastAsia"/>
          <w:szCs w:val="21"/>
        </w:rPr>
        <w:t>対面での説明会、広告メディアを利用した広報、WEBやSNSでの広報など</w:t>
      </w:r>
      <w:r w:rsidR="004D28F6" w:rsidRPr="00FB2AE5">
        <w:rPr>
          <w:rFonts w:ascii="游ゴシック" w:eastAsia="游ゴシック" w:hAnsi="游ゴシック" w:hint="eastAsia"/>
          <w:szCs w:val="21"/>
        </w:rPr>
        <w:t>複数</w:t>
      </w:r>
      <w:r w:rsidR="00D465D9" w:rsidRPr="00FB2AE5">
        <w:rPr>
          <w:rFonts w:ascii="游ゴシック" w:eastAsia="游ゴシック" w:hAnsi="游ゴシック" w:hint="eastAsia"/>
          <w:szCs w:val="21"/>
        </w:rPr>
        <w:t>な手段を用いた広報活動により</w:t>
      </w:r>
      <w:r w:rsidRPr="00FB2AE5">
        <w:rPr>
          <w:rFonts w:ascii="游ゴシック" w:eastAsia="游ゴシック" w:hAnsi="游ゴシック" w:hint="eastAsia"/>
          <w:szCs w:val="21"/>
        </w:rPr>
        <w:t>、</w:t>
      </w:r>
      <w:r w:rsidR="004D28F6" w:rsidRPr="00FB2AE5">
        <w:rPr>
          <w:rFonts w:ascii="游ゴシック" w:eastAsia="游ゴシック" w:hAnsi="游ゴシック" w:hint="eastAsia"/>
          <w:szCs w:val="21"/>
        </w:rPr>
        <w:t>多様な志願者層へのアプローチを可能とする提案であること。</w:t>
      </w:r>
      <w:r w:rsidR="005E2999" w:rsidRPr="00FB2AE5">
        <w:rPr>
          <w:rFonts w:ascii="游ゴシック" w:eastAsia="游ゴシック" w:hAnsi="游ゴシック" w:hint="eastAsia"/>
          <w:szCs w:val="21"/>
        </w:rPr>
        <w:t>（配点</w:t>
      </w:r>
      <w:r w:rsidR="00E41EE5" w:rsidRPr="00FB2AE5">
        <w:rPr>
          <w:rFonts w:ascii="游ゴシック" w:eastAsia="游ゴシック" w:hAnsi="游ゴシック" w:hint="eastAsia"/>
          <w:szCs w:val="21"/>
        </w:rPr>
        <w:t>1</w:t>
      </w:r>
      <w:r w:rsidR="00E41EE5" w:rsidRPr="00FB2AE5">
        <w:rPr>
          <w:rFonts w:ascii="游ゴシック" w:eastAsia="游ゴシック" w:hAnsi="游ゴシック"/>
          <w:szCs w:val="21"/>
        </w:rPr>
        <w:t>5</w:t>
      </w:r>
      <w:r w:rsidR="005E2999" w:rsidRPr="00FB2AE5">
        <w:rPr>
          <w:rFonts w:ascii="游ゴシック" w:eastAsia="游ゴシック" w:hAnsi="游ゴシック"/>
          <w:szCs w:val="21"/>
        </w:rPr>
        <w:t>点）</w:t>
      </w:r>
    </w:p>
    <w:p w14:paraId="25DA8E9D" w14:textId="77777777" w:rsidR="006B5B24" w:rsidRPr="00433519" w:rsidRDefault="006B5B24" w:rsidP="00433519">
      <w:pPr>
        <w:spacing w:line="0" w:lineRule="atLeast"/>
        <w:ind w:leftChars="100" w:left="591" w:hangingChars="200" w:hanging="394"/>
        <w:rPr>
          <w:rFonts w:ascii="游ゴシック" w:eastAsia="游ゴシック" w:hAnsi="游ゴシック"/>
          <w:szCs w:val="21"/>
        </w:rPr>
      </w:pPr>
    </w:p>
    <w:p w14:paraId="4C9DEE55" w14:textId="2E688FFE" w:rsidR="005E2999" w:rsidRDefault="004829EA" w:rsidP="00433519">
      <w:pPr>
        <w:spacing w:line="0" w:lineRule="atLeast"/>
        <w:ind w:leftChars="300" w:left="986" w:hangingChars="200" w:hanging="394"/>
        <w:rPr>
          <w:rFonts w:ascii="游ゴシック" w:eastAsia="游ゴシック" w:hAnsi="游ゴシック"/>
          <w:szCs w:val="21"/>
        </w:rPr>
      </w:pPr>
      <w:r w:rsidRPr="00433519">
        <w:rPr>
          <w:rFonts w:ascii="游ゴシック" w:eastAsia="游ゴシック" w:hAnsi="游ゴシック" w:hint="eastAsia"/>
          <w:szCs w:val="21"/>
        </w:rPr>
        <w:t>（３）</w:t>
      </w:r>
      <w:r w:rsidR="004D28F6">
        <w:rPr>
          <w:rFonts w:ascii="游ゴシック" w:eastAsia="游ゴシック" w:hAnsi="游ゴシック" w:hint="eastAsia"/>
          <w:szCs w:val="21"/>
        </w:rPr>
        <w:t>志願者からの問い合わせや相談に対し、東京日本語教育センターの教育内容や学習環境等について、同窓生としての経験を活かしたきめ細やかな情報提供や相談対応を行う提案であること。</w:t>
      </w:r>
      <w:r w:rsidR="005E2999" w:rsidRPr="00FB2AE5">
        <w:rPr>
          <w:rFonts w:ascii="游ゴシック" w:eastAsia="游ゴシック" w:hAnsi="游ゴシック" w:hint="eastAsia"/>
          <w:szCs w:val="21"/>
        </w:rPr>
        <w:t>（配点</w:t>
      </w:r>
      <w:r w:rsidR="00E41EE5" w:rsidRPr="00FB2AE5">
        <w:rPr>
          <w:rFonts w:ascii="游ゴシック" w:eastAsia="游ゴシック" w:hAnsi="游ゴシック" w:hint="eastAsia"/>
          <w:szCs w:val="21"/>
        </w:rPr>
        <w:t>1</w:t>
      </w:r>
      <w:r w:rsidR="00E41EE5" w:rsidRPr="00FB2AE5">
        <w:rPr>
          <w:rFonts w:ascii="游ゴシック" w:eastAsia="游ゴシック" w:hAnsi="游ゴシック"/>
          <w:szCs w:val="21"/>
        </w:rPr>
        <w:t>5</w:t>
      </w:r>
      <w:r w:rsidR="005E2999" w:rsidRPr="00FB2AE5">
        <w:rPr>
          <w:rFonts w:ascii="游ゴシック" w:eastAsia="游ゴシック" w:hAnsi="游ゴシック"/>
          <w:szCs w:val="21"/>
        </w:rPr>
        <w:t>点）</w:t>
      </w:r>
    </w:p>
    <w:p w14:paraId="61CD0FCA" w14:textId="77777777" w:rsidR="00127752" w:rsidRPr="00FB2AE5" w:rsidRDefault="00127752" w:rsidP="00ED1E62">
      <w:pPr>
        <w:spacing w:line="0" w:lineRule="atLeast"/>
        <w:rPr>
          <w:rFonts w:ascii="游ゴシック" w:eastAsia="游ゴシック" w:hAnsi="游ゴシック"/>
          <w:szCs w:val="21"/>
        </w:rPr>
      </w:pPr>
    </w:p>
    <w:p w14:paraId="12E39B37" w14:textId="57512645" w:rsidR="00B11ECE" w:rsidRPr="00FB2AE5" w:rsidRDefault="00E41EE5" w:rsidP="00433519">
      <w:pPr>
        <w:spacing w:line="0" w:lineRule="atLeast"/>
        <w:ind w:firstLineChars="200" w:firstLine="394"/>
        <w:rPr>
          <w:rFonts w:ascii="游ゴシック" w:eastAsia="游ゴシック" w:hAnsi="游ゴシック"/>
          <w:szCs w:val="21"/>
        </w:rPr>
      </w:pPr>
      <w:r w:rsidRPr="00FB2AE5">
        <w:rPr>
          <w:rFonts w:ascii="游ゴシック" w:eastAsia="游ゴシック" w:hAnsi="游ゴシック" w:hint="eastAsia"/>
          <w:szCs w:val="21"/>
        </w:rPr>
        <w:t>２</w:t>
      </w:r>
      <w:r w:rsidR="00B11ECE" w:rsidRPr="00FB2AE5">
        <w:rPr>
          <w:rFonts w:ascii="游ゴシック" w:eastAsia="游ゴシック" w:hAnsi="游ゴシック" w:hint="eastAsia"/>
          <w:szCs w:val="21"/>
        </w:rPr>
        <w:t>．</w:t>
      </w:r>
      <w:r w:rsidR="00E76BE7" w:rsidRPr="00FB2AE5">
        <w:rPr>
          <w:rFonts w:ascii="游ゴシック" w:eastAsia="游ゴシック" w:hAnsi="游ゴシック" w:hint="eastAsia"/>
          <w:szCs w:val="21"/>
        </w:rPr>
        <w:t>現状</w:t>
      </w:r>
      <w:r w:rsidR="001E012C" w:rsidRPr="00FB2AE5">
        <w:rPr>
          <w:rFonts w:ascii="游ゴシック" w:eastAsia="游ゴシック" w:hAnsi="游ゴシック" w:hint="eastAsia"/>
          <w:szCs w:val="21"/>
        </w:rPr>
        <w:t>分析</w:t>
      </w:r>
      <w:r w:rsidR="00E76BE7" w:rsidRPr="00FB2AE5">
        <w:rPr>
          <w:rFonts w:ascii="游ゴシック" w:eastAsia="游ゴシック" w:hAnsi="游ゴシック" w:hint="eastAsia"/>
          <w:szCs w:val="21"/>
        </w:rPr>
        <w:t>及び</w:t>
      </w:r>
      <w:r w:rsidR="00B11ECE" w:rsidRPr="00FB2AE5">
        <w:rPr>
          <w:rFonts w:ascii="游ゴシック" w:eastAsia="游ゴシック" w:hAnsi="游ゴシック" w:hint="eastAsia"/>
          <w:szCs w:val="21"/>
        </w:rPr>
        <w:t>期待される効果</w:t>
      </w:r>
      <w:r w:rsidR="006E6104" w:rsidRPr="00FB2AE5">
        <w:rPr>
          <w:rFonts w:ascii="游ゴシック" w:eastAsia="游ゴシック" w:hAnsi="游ゴシック" w:hint="eastAsia"/>
          <w:szCs w:val="21"/>
        </w:rPr>
        <w:t>（</w:t>
      </w:r>
      <w:r w:rsidR="00E50142" w:rsidRPr="00FB2AE5">
        <w:rPr>
          <w:rFonts w:ascii="游ゴシック" w:eastAsia="游ゴシック" w:hAnsi="游ゴシック" w:hint="eastAsia"/>
          <w:szCs w:val="21"/>
        </w:rPr>
        <w:t>配分</w:t>
      </w:r>
      <w:r w:rsidRPr="00FB2AE5">
        <w:rPr>
          <w:rFonts w:ascii="游ゴシック" w:eastAsia="游ゴシック" w:hAnsi="游ゴシック" w:hint="eastAsia"/>
          <w:szCs w:val="21"/>
        </w:rPr>
        <w:t>1</w:t>
      </w:r>
      <w:r w:rsidRPr="00FB2AE5">
        <w:rPr>
          <w:rFonts w:ascii="游ゴシック" w:eastAsia="游ゴシック" w:hAnsi="游ゴシック"/>
          <w:szCs w:val="21"/>
        </w:rPr>
        <w:t>5</w:t>
      </w:r>
      <w:r w:rsidR="006E6104" w:rsidRPr="00FB2AE5">
        <w:rPr>
          <w:rFonts w:ascii="游ゴシック" w:eastAsia="游ゴシック" w:hAnsi="游ゴシック"/>
          <w:szCs w:val="21"/>
        </w:rPr>
        <w:t>点）</w:t>
      </w:r>
    </w:p>
    <w:p w14:paraId="39D06684" w14:textId="77777777" w:rsidR="002E0D94" w:rsidRDefault="00B11ECE" w:rsidP="00433519">
      <w:pPr>
        <w:spacing w:line="0" w:lineRule="atLeast"/>
        <w:ind w:left="592" w:hangingChars="300" w:hanging="592"/>
        <w:rPr>
          <w:rFonts w:ascii="游ゴシック" w:eastAsia="游ゴシック" w:hAnsi="游ゴシック"/>
          <w:szCs w:val="21"/>
        </w:rPr>
      </w:pPr>
      <w:r w:rsidRPr="00FB2AE5">
        <w:rPr>
          <w:rFonts w:ascii="游ゴシック" w:eastAsia="游ゴシック" w:hAnsi="游ゴシック" w:hint="eastAsia"/>
          <w:szCs w:val="21"/>
        </w:rPr>
        <w:t xml:space="preserve">　　</w:t>
      </w:r>
      <w:r w:rsidR="009F2374" w:rsidRPr="00FB2AE5">
        <w:rPr>
          <w:rFonts w:ascii="游ゴシック" w:eastAsia="游ゴシック" w:hAnsi="游ゴシック" w:hint="eastAsia"/>
          <w:szCs w:val="21"/>
        </w:rPr>
        <w:t xml:space="preserve">　</w:t>
      </w:r>
      <w:r w:rsidR="000B6863" w:rsidRPr="00FB2AE5">
        <w:rPr>
          <w:rFonts w:ascii="游ゴシック" w:eastAsia="游ゴシック" w:hAnsi="游ゴシック" w:hint="eastAsia"/>
          <w:szCs w:val="21"/>
        </w:rPr>
        <w:t xml:space="preserve">　</w:t>
      </w:r>
      <w:r w:rsidR="00E41EE5" w:rsidRPr="00FB2AE5">
        <w:rPr>
          <w:rFonts w:ascii="游ゴシック" w:eastAsia="游ゴシック" w:hAnsi="游ゴシック" w:hint="eastAsia"/>
          <w:szCs w:val="21"/>
        </w:rPr>
        <w:t>当該国・地域における日本留学・進学希望者に関する</w:t>
      </w:r>
      <w:r w:rsidR="001E012C" w:rsidRPr="00FB2AE5">
        <w:rPr>
          <w:rFonts w:ascii="游ゴシック" w:eastAsia="游ゴシック" w:hAnsi="游ゴシック" w:hint="eastAsia"/>
          <w:szCs w:val="21"/>
        </w:rPr>
        <w:t>現状</w:t>
      </w:r>
      <w:r w:rsidR="00E41EE5" w:rsidRPr="00FB2AE5">
        <w:rPr>
          <w:rFonts w:ascii="游ゴシック" w:eastAsia="游ゴシック" w:hAnsi="游ゴシック" w:hint="eastAsia"/>
          <w:szCs w:val="21"/>
        </w:rPr>
        <w:t>と課題</w:t>
      </w:r>
      <w:r w:rsidR="001E012C" w:rsidRPr="00FB2AE5">
        <w:rPr>
          <w:rFonts w:ascii="游ゴシック" w:eastAsia="游ゴシック" w:hAnsi="游ゴシック" w:hint="eastAsia"/>
          <w:szCs w:val="21"/>
        </w:rPr>
        <w:t>を分析した上で、事業の実施により改善が見込まれる点や期待される効果等について検討された提案となって</w:t>
      </w:r>
      <w:r w:rsidR="006E6104" w:rsidRPr="00FB2AE5">
        <w:rPr>
          <w:rFonts w:ascii="游ゴシック" w:eastAsia="游ゴシック" w:hAnsi="游ゴシック" w:hint="eastAsia"/>
          <w:szCs w:val="21"/>
        </w:rPr>
        <w:t>いること。</w:t>
      </w:r>
    </w:p>
    <w:p w14:paraId="13FF1383" w14:textId="77777777" w:rsidR="00252247" w:rsidRPr="00FB2AE5" w:rsidRDefault="00252247" w:rsidP="00433519">
      <w:pPr>
        <w:spacing w:line="0" w:lineRule="atLeast"/>
        <w:rPr>
          <w:rFonts w:ascii="游ゴシック" w:eastAsia="游ゴシック" w:hAnsi="游ゴシック"/>
          <w:szCs w:val="21"/>
        </w:rPr>
      </w:pPr>
    </w:p>
    <w:p w14:paraId="0031B280" w14:textId="4DA57908" w:rsidR="00333E8F" w:rsidRPr="00FB2AE5" w:rsidRDefault="00E41EE5" w:rsidP="00433519">
      <w:pPr>
        <w:tabs>
          <w:tab w:val="center" w:pos="4535"/>
        </w:tabs>
        <w:spacing w:line="0" w:lineRule="atLeast"/>
        <w:ind w:firstLineChars="200" w:firstLine="394"/>
        <w:rPr>
          <w:rFonts w:ascii="游ゴシック" w:eastAsia="游ゴシック" w:hAnsi="游ゴシック"/>
          <w:szCs w:val="21"/>
        </w:rPr>
      </w:pPr>
      <w:r w:rsidRPr="00FB2AE5">
        <w:rPr>
          <w:rFonts w:ascii="游ゴシック" w:eastAsia="游ゴシック" w:hAnsi="游ゴシック" w:hint="eastAsia"/>
          <w:szCs w:val="21"/>
        </w:rPr>
        <w:t>３</w:t>
      </w:r>
      <w:r w:rsidR="00252247" w:rsidRPr="00FB2AE5">
        <w:rPr>
          <w:rFonts w:ascii="游ゴシック" w:eastAsia="游ゴシック" w:hAnsi="游ゴシック" w:hint="eastAsia"/>
          <w:szCs w:val="21"/>
        </w:rPr>
        <w:t>．予算計画</w:t>
      </w:r>
      <w:r w:rsidR="009A53E7" w:rsidRPr="00FB2AE5">
        <w:rPr>
          <w:rFonts w:ascii="游ゴシック" w:eastAsia="游ゴシック" w:hAnsi="游ゴシック" w:hint="eastAsia"/>
          <w:szCs w:val="21"/>
        </w:rPr>
        <w:t>（</w:t>
      </w:r>
      <w:r w:rsidR="00E50142" w:rsidRPr="00FB2AE5">
        <w:rPr>
          <w:rFonts w:ascii="游ゴシック" w:eastAsia="游ゴシック" w:hAnsi="游ゴシック" w:hint="eastAsia"/>
          <w:szCs w:val="21"/>
        </w:rPr>
        <w:t>配分</w:t>
      </w:r>
      <w:r w:rsidR="008931AD" w:rsidRPr="00FB2AE5">
        <w:rPr>
          <w:rFonts w:ascii="游ゴシック" w:eastAsia="游ゴシック" w:hAnsi="游ゴシック" w:hint="eastAsia"/>
          <w:szCs w:val="21"/>
        </w:rPr>
        <w:t>35</w:t>
      </w:r>
      <w:r w:rsidR="009A53E7" w:rsidRPr="00FB2AE5">
        <w:rPr>
          <w:rFonts w:ascii="游ゴシック" w:eastAsia="游ゴシック" w:hAnsi="游ゴシック" w:hint="eastAsia"/>
          <w:szCs w:val="21"/>
        </w:rPr>
        <w:t>点）</w:t>
      </w:r>
    </w:p>
    <w:p w14:paraId="0D999199" w14:textId="031AAF96" w:rsidR="00A67F5A" w:rsidRPr="00FB2AE5" w:rsidRDefault="00A67F5A" w:rsidP="00433519">
      <w:pPr>
        <w:spacing w:line="0" w:lineRule="atLeast"/>
        <w:ind w:leftChars="300" w:left="592"/>
        <w:rPr>
          <w:rFonts w:ascii="游ゴシック" w:eastAsia="游ゴシック" w:hAnsi="游ゴシック"/>
          <w:szCs w:val="21"/>
        </w:rPr>
      </w:pPr>
      <w:r w:rsidRPr="00FB2AE5">
        <w:rPr>
          <w:rFonts w:ascii="游ゴシック" w:eastAsia="游ゴシック" w:hAnsi="游ゴシック" w:hint="eastAsia"/>
          <w:szCs w:val="21"/>
        </w:rPr>
        <w:t xml:space="preserve">　事業の実施内容に見合った</w:t>
      </w:r>
      <w:r w:rsidR="00D03A66" w:rsidRPr="00FB2AE5">
        <w:rPr>
          <w:rFonts w:ascii="游ゴシック" w:eastAsia="游ゴシック" w:hAnsi="游ゴシック" w:hint="eastAsia"/>
          <w:szCs w:val="21"/>
        </w:rPr>
        <w:t>、</w:t>
      </w:r>
      <w:r w:rsidR="006E102B" w:rsidRPr="00FB2AE5">
        <w:rPr>
          <w:rFonts w:ascii="游ゴシック" w:eastAsia="游ゴシック" w:hAnsi="游ゴシック" w:hint="eastAsia"/>
          <w:szCs w:val="21"/>
        </w:rPr>
        <w:t>事業の目的を効果的に達成できる</w:t>
      </w:r>
      <w:r w:rsidRPr="00FB2AE5">
        <w:rPr>
          <w:rFonts w:ascii="游ゴシック" w:eastAsia="游ゴシック" w:hAnsi="游ゴシック" w:hint="eastAsia"/>
          <w:szCs w:val="21"/>
        </w:rPr>
        <w:t>予算計画であり、</w:t>
      </w:r>
      <w:r w:rsidR="001E012C" w:rsidRPr="00FB2AE5">
        <w:rPr>
          <w:rFonts w:ascii="游ゴシック" w:eastAsia="游ゴシック" w:hAnsi="游ゴシック" w:hint="eastAsia"/>
          <w:szCs w:val="21"/>
        </w:rPr>
        <w:t>予算の積算が</w:t>
      </w:r>
      <w:r w:rsidR="001F307E" w:rsidRPr="00FB2AE5">
        <w:rPr>
          <w:rFonts w:ascii="游ゴシック" w:eastAsia="游ゴシック" w:hAnsi="游ゴシック" w:hint="eastAsia"/>
          <w:szCs w:val="21"/>
        </w:rPr>
        <w:t>合理的</w:t>
      </w:r>
      <w:r w:rsidR="00252247" w:rsidRPr="00FB2AE5">
        <w:rPr>
          <w:rFonts w:ascii="游ゴシック" w:eastAsia="游ゴシック" w:hAnsi="游ゴシック" w:hint="eastAsia"/>
          <w:szCs w:val="21"/>
        </w:rPr>
        <w:t>かつ効率的</w:t>
      </w:r>
      <w:r w:rsidR="001E012C" w:rsidRPr="00FB2AE5">
        <w:rPr>
          <w:rFonts w:ascii="游ゴシック" w:eastAsia="游ゴシック" w:hAnsi="游ゴシック" w:hint="eastAsia"/>
          <w:szCs w:val="21"/>
        </w:rPr>
        <w:t>なもの</w:t>
      </w:r>
      <w:r w:rsidR="00252247" w:rsidRPr="00FB2AE5">
        <w:rPr>
          <w:rFonts w:ascii="游ゴシック" w:eastAsia="游ゴシック" w:hAnsi="游ゴシック" w:hint="eastAsia"/>
          <w:szCs w:val="21"/>
        </w:rPr>
        <w:t>である</w:t>
      </w:r>
      <w:r w:rsidR="00333E8F" w:rsidRPr="00FB2AE5">
        <w:rPr>
          <w:rFonts w:ascii="游ゴシック" w:eastAsia="游ゴシック" w:hAnsi="游ゴシック" w:hint="eastAsia"/>
          <w:szCs w:val="21"/>
        </w:rPr>
        <w:t>こと</w:t>
      </w:r>
      <w:r w:rsidR="00252247" w:rsidRPr="00FB2AE5">
        <w:rPr>
          <w:rFonts w:ascii="游ゴシック" w:eastAsia="游ゴシック" w:hAnsi="游ゴシック" w:hint="eastAsia"/>
          <w:szCs w:val="21"/>
        </w:rPr>
        <w:t>。</w:t>
      </w:r>
    </w:p>
    <w:p w14:paraId="57735DCB" w14:textId="77777777" w:rsidR="00A67F5A" w:rsidRPr="00FB2AE5" w:rsidRDefault="00A67F5A" w:rsidP="00433519">
      <w:pPr>
        <w:spacing w:line="0" w:lineRule="atLeast"/>
        <w:rPr>
          <w:rFonts w:ascii="游ゴシック" w:eastAsia="游ゴシック" w:hAnsi="游ゴシック"/>
          <w:szCs w:val="21"/>
        </w:rPr>
      </w:pPr>
    </w:p>
    <w:p w14:paraId="7FE21A54" w14:textId="5A4F5B96" w:rsidR="00252247" w:rsidRPr="00FB2AE5" w:rsidRDefault="00E41EE5" w:rsidP="00E41EE5">
      <w:pPr>
        <w:spacing w:line="0" w:lineRule="atLeast"/>
        <w:ind w:firstLineChars="200" w:firstLine="394"/>
        <w:rPr>
          <w:rFonts w:ascii="游ゴシック" w:eastAsia="游ゴシック" w:hAnsi="游ゴシック"/>
          <w:szCs w:val="21"/>
        </w:rPr>
      </w:pPr>
      <w:r w:rsidRPr="00FB2AE5">
        <w:rPr>
          <w:rFonts w:ascii="游ゴシック" w:eastAsia="游ゴシック" w:hAnsi="游ゴシック" w:hint="eastAsia"/>
          <w:szCs w:val="21"/>
        </w:rPr>
        <w:t>４</w:t>
      </w:r>
      <w:r w:rsidR="00252247" w:rsidRPr="00FB2AE5">
        <w:rPr>
          <w:rFonts w:ascii="游ゴシック" w:eastAsia="游ゴシック" w:hAnsi="游ゴシック" w:hint="eastAsia"/>
          <w:szCs w:val="21"/>
        </w:rPr>
        <w:t>．実施体制</w:t>
      </w:r>
      <w:r w:rsidR="009A53E7" w:rsidRPr="00FB2AE5">
        <w:rPr>
          <w:rFonts w:ascii="游ゴシック" w:eastAsia="游ゴシック" w:hAnsi="游ゴシック" w:hint="eastAsia"/>
          <w:szCs w:val="21"/>
        </w:rPr>
        <w:t>（</w:t>
      </w:r>
      <w:r w:rsidR="00E50142" w:rsidRPr="00FB2AE5">
        <w:rPr>
          <w:rFonts w:ascii="游ゴシック" w:eastAsia="游ゴシック" w:hAnsi="游ゴシック" w:hint="eastAsia"/>
          <w:szCs w:val="21"/>
        </w:rPr>
        <w:t>配分</w:t>
      </w:r>
      <w:r w:rsidR="00B1596A" w:rsidRPr="00FB2AE5">
        <w:rPr>
          <w:rFonts w:ascii="游ゴシック" w:eastAsia="游ゴシック" w:hAnsi="游ゴシック"/>
          <w:szCs w:val="21"/>
        </w:rPr>
        <w:t>5</w:t>
      </w:r>
      <w:r w:rsidR="009A53E7" w:rsidRPr="00FB2AE5">
        <w:rPr>
          <w:rFonts w:ascii="游ゴシック" w:eastAsia="游ゴシック" w:hAnsi="游ゴシック" w:hint="eastAsia"/>
          <w:szCs w:val="21"/>
        </w:rPr>
        <w:t>点）</w:t>
      </w:r>
    </w:p>
    <w:p w14:paraId="2018F5EA" w14:textId="76106790" w:rsidR="009E1974" w:rsidRPr="00433519" w:rsidRDefault="00E41EE5" w:rsidP="00433519">
      <w:pPr>
        <w:spacing w:line="0" w:lineRule="atLeast"/>
        <w:ind w:leftChars="305" w:left="601" w:firstLineChars="100" w:firstLine="197"/>
        <w:rPr>
          <w:rFonts w:ascii="游ゴシック" w:eastAsia="游ゴシック" w:hAnsi="游ゴシック"/>
          <w:szCs w:val="21"/>
        </w:rPr>
      </w:pPr>
      <w:r>
        <w:rPr>
          <w:rFonts w:ascii="游ゴシック" w:eastAsia="游ゴシック" w:hAnsi="游ゴシック" w:hint="eastAsia"/>
          <w:szCs w:val="21"/>
        </w:rPr>
        <w:t>事業実施及び会計の責任者及び担当者が配置され</w:t>
      </w:r>
      <w:r w:rsidR="00127752" w:rsidRPr="00433519">
        <w:rPr>
          <w:rFonts w:ascii="游ゴシック" w:eastAsia="游ゴシック" w:hAnsi="游ゴシック" w:hint="eastAsia"/>
          <w:szCs w:val="21"/>
        </w:rPr>
        <w:t>、</w:t>
      </w:r>
      <w:r>
        <w:rPr>
          <w:rFonts w:ascii="游ゴシック" w:eastAsia="游ゴシック" w:hAnsi="游ゴシック" w:hint="eastAsia"/>
          <w:szCs w:val="21"/>
        </w:rPr>
        <w:t>事業実施に係る</w:t>
      </w:r>
      <w:r w:rsidR="009E1974" w:rsidRPr="00433519">
        <w:rPr>
          <w:rFonts w:ascii="游ゴシック" w:eastAsia="游ゴシック" w:hAnsi="游ゴシック" w:hint="eastAsia"/>
          <w:szCs w:val="21"/>
        </w:rPr>
        <w:t>体制が整備されていること。</w:t>
      </w:r>
    </w:p>
    <w:p w14:paraId="5C5638CD" w14:textId="6DB938D3" w:rsidR="00433519" w:rsidRDefault="00433519" w:rsidP="00433519">
      <w:pPr>
        <w:pStyle w:val="a9"/>
        <w:spacing w:line="0" w:lineRule="atLeast"/>
        <w:rPr>
          <w:rFonts w:ascii="游ゴシック" w:eastAsia="游ゴシック" w:hAnsi="游ゴシック"/>
        </w:rPr>
      </w:pPr>
    </w:p>
    <w:p w14:paraId="7C4C417B" w14:textId="3CD89844" w:rsidR="001853DF" w:rsidRPr="00433519" w:rsidRDefault="00104552" w:rsidP="00433519">
      <w:pPr>
        <w:pStyle w:val="a9"/>
        <w:spacing w:line="0" w:lineRule="atLeast"/>
        <w:rPr>
          <w:rFonts w:ascii="游ゴシック" w:eastAsia="游ゴシック" w:hAnsi="游ゴシック"/>
        </w:rPr>
      </w:pPr>
      <w:bookmarkStart w:id="0" w:name="_GoBack"/>
      <w:bookmarkEnd w:id="0"/>
      <w:r w:rsidRPr="00433519">
        <w:rPr>
          <w:rFonts w:ascii="游ゴシック" w:eastAsia="游ゴシック" w:hAnsi="游ゴシック" w:hint="eastAsia"/>
        </w:rPr>
        <w:t>以上</w:t>
      </w:r>
    </w:p>
    <w:sectPr w:rsidR="001853DF" w:rsidRPr="00433519" w:rsidSect="006B51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851" w:left="1418" w:header="720" w:footer="283" w:gutter="0"/>
      <w:cols w:space="425"/>
      <w:noEndnote/>
      <w:docGrid w:type="linesAndChars" w:linePitch="31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DC8A" w14:textId="77777777" w:rsidR="000F4CE4" w:rsidRDefault="000F4CE4">
      <w:r>
        <w:separator/>
      </w:r>
    </w:p>
  </w:endnote>
  <w:endnote w:type="continuationSeparator" w:id="0">
    <w:p w14:paraId="501A5C41" w14:textId="77777777" w:rsidR="000F4CE4" w:rsidRDefault="000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9E4B5" w14:textId="77777777" w:rsidR="001F3278" w:rsidRDefault="001F32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609F" w14:textId="699C77FE" w:rsidR="006B51AD" w:rsidRDefault="006B51AD">
    <w:pPr>
      <w:pStyle w:val="a5"/>
      <w:jc w:val="center"/>
    </w:pPr>
    <w:r>
      <w:fldChar w:fldCharType="begin"/>
    </w:r>
    <w:r>
      <w:instrText>PAGE   \* MERGEFORMAT</w:instrText>
    </w:r>
    <w:r>
      <w:fldChar w:fldCharType="separate"/>
    </w:r>
    <w:r w:rsidR="0006652E" w:rsidRPr="0006652E">
      <w:rPr>
        <w:noProof/>
        <w:lang w:val="ja-JP"/>
      </w:rPr>
      <w:t>2</w:t>
    </w:r>
    <w:r>
      <w:fldChar w:fldCharType="end"/>
    </w:r>
  </w:p>
  <w:p w14:paraId="7D5965F6" w14:textId="77777777" w:rsidR="006B51AD" w:rsidRDefault="006B51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C6E9" w14:textId="77777777" w:rsidR="001F3278" w:rsidRDefault="001F3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9F85" w14:textId="77777777" w:rsidR="000F4CE4" w:rsidRDefault="000F4CE4">
      <w:r>
        <w:separator/>
      </w:r>
    </w:p>
  </w:footnote>
  <w:footnote w:type="continuationSeparator" w:id="0">
    <w:p w14:paraId="20EFC535" w14:textId="77777777" w:rsidR="000F4CE4" w:rsidRDefault="000F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B36A" w14:textId="77777777" w:rsidR="001F3278" w:rsidRDefault="001F32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1BEB" w14:textId="77777777" w:rsidR="001F3278" w:rsidRDefault="001F32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61AA" w14:textId="77777777" w:rsidR="001F3278" w:rsidRDefault="001F32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C2"/>
    <w:rsid w:val="00007374"/>
    <w:rsid w:val="00011D44"/>
    <w:rsid w:val="000415E9"/>
    <w:rsid w:val="00063A4F"/>
    <w:rsid w:val="0006652E"/>
    <w:rsid w:val="00067A26"/>
    <w:rsid w:val="00076FC8"/>
    <w:rsid w:val="000B299B"/>
    <w:rsid w:val="000B6863"/>
    <w:rsid w:val="000F35BD"/>
    <w:rsid w:val="000F4CE4"/>
    <w:rsid w:val="00104552"/>
    <w:rsid w:val="00127752"/>
    <w:rsid w:val="00161E1C"/>
    <w:rsid w:val="0018237E"/>
    <w:rsid w:val="001853DF"/>
    <w:rsid w:val="0019687F"/>
    <w:rsid w:val="001C6638"/>
    <w:rsid w:val="001C677F"/>
    <w:rsid w:val="001D3FAE"/>
    <w:rsid w:val="001D4621"/>
    <w:rsid w:val="001E012C"/>
    <w:rsid w:val="001F307E"/>
    <w:rsid w:val="001F3278"/>
    <w:rsid w:val="002049F7"/>
    <w:rsid w:val="00240C34"/>
    <w:rsid w:val="00252247"/>
    <w:rsid w:val="00280F19"/>
    <w:rsid w:val="002942B3"/>
    <w:rsid w:val="002A4109"/>
    <w:rsid w:val="002E0D94"/>
    <w:rsid w:val="002E328A"/>
    <w:rsid w:val="00322213"/>
    <w:rsid w:val="00333E8F"/>
    <w:rsid w:val="00350C5F"/>
    <w:rsid w:val="00350D03"/>
    <w:rsid w:val="00364835"/>
    <w:rsid w:val="003731AB"/>
    <w:rsid w:val="00385431"/>
    <w:rsid w:val="003B61FF"/>
    <w:rsid w:val="003C58F7"/>
    <w:rsid w:val="003F1DBB"/>
    <w:rsid w:val="00404937"/>
    <w:rsid w:val="00433519"/>
    <w:rsid w:val="004829EA"/>
    <w:rsid w:val="00487F23"/>
    <w:rsid w:val="00497656"/>
    <w:rsid w:val="004B5BD3"/>
    <w:rsid w:val="004B7F4A"/>
    <w:rsid w:val="004D28F6"/>
    <w:rsid w:val="004F37F7"/>
    <w:rsid w:val="004F5B8D"/>
    <w:rsid w:val="00512FF6"/>
    <w:rsid w:val="00544BA6"/>
    <w:rsid w:val="00551563"/>
    <w:rsid w:val="005746A3"/>
    <w:rsid w:val="00590FAA"/>
    <w:rsid w:val="005B2DAC"/>
    <w:rsid w:val="005E2999"/>
    <w:rsid w:val="0060209B"/>
    <w:rsid w:val="006223F8"/>
    <w:rsid w:val="00623338"/>
    <w:rsid w:val="006235F5"/>
    <w:rsid w:val="00626964"/>
    <w:rsid w:val="00634F97"/>
    <w:rsid w:val="006402D4"/>
    <w:rsid w:val="006570DC"/>
    <w:rsid w:val="00691060"/>
    <w:rsid w:val="006A15DB"/>
    <w:rsid w:val="006B51AD"/>
    <w:rsid w:val="006B5B24"/>
    <w:rsid w:val="006C1F57"/>
    <w:rsid w:val="006C6D16"/>
    <w:rsid w:val="006D272F"/>
    <w:rsid w:val="006E102B"/>
    <w:rsid w:val="006E4D26"/>
    <w:rsid w:val="006E6104"/>
    <w:rsid w:val="00711983"/>
    <w:rsid w:val="00713B0A"/>
    <w:rsid w:val="0072626E"/>
    <w:rsid w:val="0073635F"/>
    <w:rsid w:val="0078191D"/>
    <w:rsid w:val="007D366E"/>
    <w:rsid w:val="007E08F0"/>
    <w:rsid w:val="007E6B0D"/>
    <w:rsid w:val="007F7CAD"/>
    <w:rsid w:val="00834FA7"/>
    <w:rsid w:val="00866338"/>
    <w:rsid w:val="008931AD"/>
    <w:rsid w:val="008A19C7"/>
    <w:rsid w:val="008E0AD4"/>
    <w:rsid w:val="008F6FE2"/>
    <w:rsid w:val="009542C7"/>
    <w:rsid w:val="009804A7"/>
    <w:rsid w:val="009A0A1A"/>
    <w:rsid w:val="009A53E7"/>
    <w:rsid w:val="009B3DA9"/>
    <w:rsid w:val="009E1974"/>
    <w:rsid w:val="009F2374"/>
    <w:rsid w:val="00A258ED"/>
    <w:rsid w:val="00A603DA"/>
    <w:rsid w:val="00A67F5A"/>
    <w:rsid w:val="00A85B1C"/>
    <w:rsid w:val="00A87E57"/>
    <w:rsid w:val="00AA752F"/>
    <w:rsid w:val="00AB357D"/>
    <w:rsid w:val="00AB7162"/>
    <w:rsid w:val="00AF5225"/>
    <w:rsid w:val="00B02E2F"/>
    <w:rsid w:val="00B05980"/>
    <w:rsid w:val="00B11ECE"/>
    <w:rsid w:val="00B13387"/>
    <w:rsid w:val="00B1596A"/>
    <w:rsid w:val="00B20723"/>
    <w:rsid w:val="00B23923"/>
    <w:rsid w:val="00B37CED"/>
    <w:rsid w:val="00B41902"/>
    <w:rsid w:val="00B80382"/>
    <w:rsid w:val="00BB4E87"/>
    <w:rsid w:val="00BD3188"/>
    <w:rsid w:val="00C00D25"/>
    <w:rsid w:val="00C04DB4"/>
    <w:rsid w:val="00C6468C"/>
    <w:rsid w:val="00C706DB"/>
    <w:rsid w:val="00D03A66"/>
    <w:rsid w:val="00D10BEE"/>
    <w:rsid w:val="00D1555F"/>
    <w:rsid w:val="00D16514"/>
    <w:rsid w:val="00D465D9"/>
    <w:rsid w:val="00D56ED7"/>
    <w:rsid w:val="00D6040F"/>
    <w:rsid w:val="00D82D28"/>
    <w:rsid w:val="00DE7EF2"/>
    <w:rsid w:val="00DF3FBA"/>
    <w:rsid w:val="00DF75C7"/>
    <w:rsid w:val="00DF7DFC"/>
    <w:rsid w:val="00E01AC1"/>
    <w:rsid w:val="00E1125F"/>
    <w:rsid w:val="00E21303"/>
    <w:rsid w:val="00E41EE5"/>
    <w:rsid w:val="00E50142"/>
    <w:rsid w:val="00E56066"/>
    <w:rsid w:val="00E76BE7"/>
    <w:rsid w:val="00E95A96"/>
    <w:rsid w:val="00ED1E62"/>
    <w:rsid w:val="00EE2EB1"/>
    <w:rsid w:val="00F03B14"/>
    <w:rsid w:val="00F10D41"/>
    <w:rsid w:val="00F1623F"/>
    <w:rsid w:val="00F53EC1"/>
    <w:rsid w:val="00F54F08"/>
    <w:rsid w:val="00F57934"/>
    <w:rsid w:val="00F74EC2"/>
    <w:rsid w:val="00F95974"/>
    <w:rsid w:val="00FA4ACB"/>
    <w:rsid w:val="00FB2AE5"/>
    <w:rsid w:val="00FE6787"/>
    <w:rsid w:val="00FF16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ABDD1A8"/>
  <w15:docId w15:val="{89DA4BA3-88E4-4C49-8044-AAB808C7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a8">
    <w:name w:val="一太郎８/９"/>
    <w:rsid w:val="009A0A1A"/>
    <w:pPr>
      <w:widowControl w:val="0"/>
      <w:wordWrap w:val="0"/>
      <w:autoSpaceDE w:val="0"/>
      <w:autoSpaceDN w:val="0"/>
      <w:adjustRightInd w:val="0"/>
      <w:spacing w:line="417" w:lineRule="atLeast"/>
      <w:jc w:val="both"/>
    </w:pPr>
    <w:rPr>
      <w:rFonts w:ascii="Times New Roman" w:hAnsi="Times New Roman"/>
      <w:spacing w:val="-1"/>
      <w:sz w:val="21"/>
      <w:szCs w:val="21"/>
    </w:rPr>
  </w:style>
  <w:style w:type="paragraph" w:styleId="a9">
    <w:name w:val="Closing"/>
    <w:basedOn w:val="a"/>
    <w:link w:val="aa"/>
    <w:rsid w:val="00333E8F"/>
    <w:pPr>
      <w:jc w:val="right"/>
    </w:pPr>
    <w:rPr>
      <w:rFonts w:ascii="ＭＳ 明朝" w:hAnsi="ＭＳ 明朝"/>
      <w:szCs w:val="21"/>
    </w:rPr>
  </w:style>
  <w:style w:type="character" w:customStyle="1" w:styleId="aa">
    <w:name w:val="結語 (文字)"/>
    <w:link w:val="a9"/>
    <w:rsid w:val="00333E8F"/>
    <w:rPr>
      <w:rFonts w:ascii="ＭＳ 明朝" w:hAnsi="ＭＳ 明朝"/>
      <w:kern w:val="2"/>
      <w:sz w:val="21"/>
      <w:szCs w:val="21"/>
    </w:rPr>
  </w:style>
  <w:style w:type="character" w:customStyle="1" w:styleId="a4">
    <w:name w:val="ヘッダー (文字)"/>
    <w:link w:val="a3"/>
    <w:uiPriority w:val="99"/>
    <w:rsid w:val="006B51AD"/>
    <w:rPr>
      <w:kern w:val="2"/>
      <w:sz w:val="21"/>
      <w:szCs w:val="24"/>
      <w:lang w:bidi="ar-SA"/>
    </w:rPr>
  </w:style>
  <w:style w:type="character" w:customStyle="1" w:styleId="a6">
    <w:name w:val="フッター (文字)"/>
    <w:link w:val="a5"/>
    <w:uiPriority w:val="99"/>
    <w:rsid w:val="006B51AD"/>
    <w:rPr>
      <w:kern w:val="2"/>
      <w:sz w:val="21"/>
      <w:szCs w:val="24"/>
      <w:lang w:bidi="ar-SA"/>
    </w:rPr>
  </w:style>
  <w:style w:type="character" w:styleId="ab">
    <w:name w:val="annotation reference"/>
    <w:basedOn w:val="a0"/>
    <w:semiHidden/>
    <w:unhideWhenUsed/>
    <w:rsid w:val="009542C7"/>
    <w:rPr>
      <w:sz w:val="18"/>
      <w:szCs w:val="18"/>
    </w:rPr>
  </w:style>
  <w:style w:type="paragraph" w:styleId="ac">
    <w:name w:val="annotation text"/>
    <w:basedOn w:val="a"/>
    <w:link w:val="ad"/>
    <w:semiHidden/>
    <w:unhideWhenUsed/>
    <w:rsid w:val="009542C7"/>
    <w:pPr>
      <w:jc w:val="left"/>
    </w:pPr>
  </w:style>
  <w:style w:type="character" w:customStyle="1" w:styleId="ad">
    <w:name w:val="コメント文字列 (文字)"/>
    <w:basedOn w:val="a0"/>
    <w:link w:val="ac"/>
    <w:semiHidden/>
    <w:rsid w:val="009542C7"/>
    <w:rPr>
      <w:kern w:val="2"/>
      <w:sz w:val="21"/>
      <w:szCs w:val="24"/>
    </w:rPr>
  </w:style>
  <w:style w:type="paragraph" w:styleId="ae">
    <w:name w:val="annotation subject"/>
    <w:basedOn w:val="ac"/>
    <w:next w:val="ac"/>
    <w:link w:val="af"/>
    <w:semiHidden/>
    <w:unhideWhenUsed/>
    <w:rsid w:val="009542C7"/>
    <w:rPr>
      <w:b/>
      <w:bCs/>
    </w:rPr>
  </w:style>
  <w:style w:type="character" w:customStyle="1" w:styleId="af">
    <w:name w:val="コメント内容 (文字)"/>
    <w:basedOn w:val="ad"/>
    <w:link w:val="ae"/>
    <w:semiHidden/>
    <w:rsid w:val="009542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6600">
      <w:bodyDiv w:val="1"/>
      <w:marLeft w:val="0"/>
      <w:marRight w:val="0"/>
      <w:marTop w:val="0"/>
      <w:marBottom w:val="0"/>
      <w:divBdr>
        <w:top w:val="none" w:sz="0" w:space="0" w:color="auto"/>
        <w:left w:val="none" w:sz="0" w:space="0" w:color="auto"/>
        <w:bottom w:val="none" w:sz="0" w:space="0" w:color="auto"/>
        <w:right w:val="none" w:sz="0" w:space="0" w:color="auto"/>
      </w:divBdr>
    </w:div>
    <w:div w:id="643050663">
      <w:bodyDiv w:val="1"/>
      <w:marLeft w:val="0"/>
      <w:marRight w:val="0"/>
      <w:marTop w:val="0"/>
      <w:marBottom w:val="0"/>
      <w:divBdr>
        <w:top w:val="none" w:sz="0" w:space="0" w:color="auto"/>
        <w:left w:val="none" w:sz="0" w:space="0" w:color="auto"/>
        <w:bottom w:val="none" w:sz="0" w:space="0" w:color="auto"/>
        <w:right w:val="none" w:sz="0" w:space="0" w:color="auto"/>
      </w:divBdr>
    </w:div>
    <w:div w:id="914826891">
      <w:bodyDiv w:val="1"/>
      <w:marLeft w:val="0"/>
      <w:marRight w:val="0"/>
      <w:marTop w:val="0"/>
      <w:marBottom w:val="0"/>
      <w:divBdr>
        <w:top w:val="none" w:sz="0" w:space="0" w:color="auto"/>
        <w:left w:val="none" w:sz="0" w:space="0" w:color="auto"/>
        <w:bottom w:val="none" w:sz="0" w:space="0" w:color="auto"/>
        <w:right w:val="none" w:sz="0" w:space="0" w:color="auto"/>
      </w:divBdr>
    </w:div>
    <w:div w:id="13296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DFBF-305C-4915-B042-53041CA0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1134</Words>
  <Characters>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独立行政法人日本学生支援機構</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企画提案書審査基準【別紙2】</dc:title>
  <dc:creator>JASSO</dc:creator>
  <cp:lastModifiedBy>JASSO</cp:lastModifiedBy>
  <cp:revision>5</cp:revision>
  <dcterms:created xsi:type="dcterms:W3CDTF">2024-02-06T09:07:00Z</dcterms:created>
  <dcterms:modified xsi:type="dcterms:W3CDTF">2024-02-06T09:13:00Z</dcterms:modified>
</cp:coreProperties>
</file>